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Calibri" w:eastAsia="仿宋_GB2312" w:cs="黑体"/>
          <w:sz w:val="44"/>
          <w:szCs w:val="44"/>
          <w:lang w:eastAsia="zh-CN"/>
        </w:rPr>
      </w:pPr>
      <w:r>
        <w:rPr>
          <w:rFonts w:hint="eastAsia" w:ascii="仿宋_GB2312" w:eastAsia="仿宋_GB2312"/>
          <w:sz w:val="24"/>
          <w:lang w:eastAsia="zh-CN"/>
        </w:rPr>
        <w:t>附件四：</w:t>
      </w:r>
    </w:p>
    <w:p>
      <w:pPr>
        <w:jc w:val="center"/>
        <w:rPr>
          <w:rFonts w:hint="eastAsia" w:ascii="黑体" w:hAnsi="Calibri" w:eastAsia="黑体" w:cs="黑体"/>
          <w:sz w:val="44"/>
          <w:szCs w:val="44"/>
        </w:rPr>
      </w:pPr>
      <w:r>
        <w:rPr>
          <w:rFonts w:hint="eastAsia" w:ascii="黑体" w:hAnsi="Calibri" w:eastAsia="黑体" w:cs="黑体"/>
          <w:sz w:val="44"/>
          <w:szCs w:val="44"/>
        </w:rPr>
        <w:t>政府采购合同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2640" w:firstLineChars="11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合同编号：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20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>签订地点：山西省晋中市榆次区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甲方：晋中市财政局(受托方：晋中市政府采购中心)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根据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>日办公家具定点采购项目（文件编号：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</w:rPr>
        <w:t>）公开招标的结果和相关考察意见，甲方委托受托方与乙方签订定点家具采购合同，现将有关事项明确约定如下：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1．供货范围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晋中市市直行政事业单位</w:t>
      </w:r>
      <w:r>
        <w:rPr>
          <w:rFonts w:hint="eastAsia" w:ascii="仿宋_GB2312" w:eastAsia="仿宋_GB2312"/>
          <w:sz w:val="24"/>
          <w:lang w:eastAsia="zh-CN"/>
        </w:rPr>
        <w:t>（以下简称市直单位）</w:t>
      </w:r>
      <w:r>
        <w:rPr>
          <w:rFonts w:hint="eastAsia" w:ascii="仿宋_GB2312" w:eastAsia="仿宋_GB2312"/>
          <w:sz w:val="24"/>
        </w:rPr>
        <w:t>提供</w:t>
      </w:r>
      <w:r>
        <w:rPr>
          <w:rFonts w:hint="eastAsia" w:ascii="仿宋_GB2312" w:eastAsia="仿宋_GB2312"/>
          <w:bCs/>
          <w:sz w:val="24"/>
        </w:rPr>
        <w:t>办公家具定点采购</w:t>
      </w:r>
      <w:r>
        <w:rPr>
          <w:rFonts w:hint="eastAsia" w:ascii="仿宋_GB2312" w:eastAsia="仿宋_GB2312"/>
          <w:sz w:val="24"/>
        </w:rPr>
        <w:t>及与之相关的服务。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2．协议供货价格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2.1定点采购价格：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第一包：木质综合类办公家具常用家具价格表（详见附件）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其它家具价格实收比例（%）：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第二包：钢质综合类办公家具常用家具价格表（详见附件）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其它家具价格实收比例（%）：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>%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rPr>
          <w:rFonts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</w:rPr>
        <w:t>3．结算方式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由乙方与市直行政事业单位</w:t>
      </w:r>
      <w:r>
        <w:rPr>
          <w:rFonts w:hint="eastAsia" w:ascii="仿宋_GB2312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定点家具采购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单位</w:t>
      </w:r>
      <w:r>
        <w:rPr>
          <w:rFonts w:hint="eastAsia" w:ascii="仿宋_GB2312" w:eastAsia="仿宋_GB2312"/>
          <w:sz w:val="24"/>
        </w:rPr>
        <w:t>双方协商确定。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rPr>
          <w:rFonts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b w:val="0"/>
          <w:sz w:val="28"/>
          <w:szCs w:val="28"/>
        </w:rPr>
        <w:t>．合同期限</w:t>
      </w:r>
    </w:p>
    <w:p>
      <w:pPr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0" w:rightChars="0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两年。合同签订起至下</w:t>
      </w:r>
      <w:r>
        <w:rPr>
          <w:rFonts w:hint="eastAsia" w:ascii="仿宋_GB2312" w:eastAsia="仿宋_GB2312"/>
          <w:sz w:val="24"/>
          <w:lang w:eastAsia="zh-CN"/>
        </w:rPr>
        <w:t>一期</w:t>
      </w:r>
      <w:r>
        <w:rPr>
          <w:rFonts w:hint="eastAsia" w:ascii="仿宋_GB2312" w:eastAsia="仿宋_GB2312"/>
          <w:sz w:val="24"/>
        </w:rPr>
        <w:t>确定中标供应商止。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ind w:right="0" w:rightChars="0"/>
        <w:textAlignment w:val="auto"/>
        <w:rPr>
          <w:rFonts w:hint="eastAsia"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  <w:lang w:val="en-US" w:eastAsia="zh-CN"/>
        </w:rPr>
        <w:t>5</w:t>
      </w:r>
      <w:r>
        <w:rPr>
          <w:rFonts w:hint="eastAsia" w:ascii="黑体" w:eastAsia="黑体"/>
          <w:b w:val="0"/>
          <w:sz w:val="28"/>
          <w:szCs w:val="28"/>
        </w:rPr>
        <w:t>．甲方的权利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5.1</w:t>
      </w:r>
      <w:r>
        <w:rPr>
          <w:rFonts w:hint="eastAsia" w:ascii="仿宋_GB2312" w:eastAsia="仿宋_GB2312"/>
          <w:sz w:val="24"/>
        </w:rPr>
        <w:t>甲方有权对乙方所属政府采购范围内的</w:t>
      </w:r>
      <w:r>
        <w:rPr>
          <w:rFonts w:hint="eastAsia" w:ascii="仿宋_GB2312" w:eastAsia="仿宋_GB2312"/>
          <w:sz w:val="24"/>
          <w:lang w:eastAsia="zh-CN"/>
        </w:rPr>
        <w:t>定点家具</w:t>
      </w:r>
      <w:r>
        <w:rPr>
          <w:rFonts w:hint="eastAsia" w:ascii="仿宋_GB2312" w:eastAsia="仿宋_GB2312"/>
          <w:sz w:val="24"/>
        </w:rPr>
        <w:t>业务进行检查</w:t>
      </w:r>
      <w:r>
        <w:rPr>
          <w:rFonts w:hint="eastAsia" w:ascii="仿宋_GB2312" w:eastAsia="仿宋_GB2312"/>
          <w:sz w:val="24"/>
          <w:lang w:eastAsia="zh-CN"/>
        </w:rPr>
        <w:t>、考核，视违约情况进行处罚。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5.2 </w:t>
      </w:r>
      <w:r>
        <w:rPr>
          <w:rFonts w:hint="eastAsia" w:ascii="仿宋_GB2312" w:eastAsia="仿宋_GB2312"/>
          <w:sz w:val="24"/>
        </w:rPr>
        <w:t>当遇有重大变更事项，甲方有权召集乙方和市直行政事业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单位协商处理有关事宜。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ind w:right="0" w:rightChars="0"/>
        <w:textAlignment w:val="auto"/>
        <w:rPr>
          <w:rFonts w:hint="eastAsia"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  <w:lang w:val="en-US" w:eastAsia="zh-CN"/>
        </w:rPr>
        <w:t>6</w:t>
      </w:r>
      <w:r>
        <w:rPr>
          <w:rFonts w:hint="eastAsia" w:ascii="黑体" w:eastAsia="黑体"/>
          <w:b w:val="0"/>
          <w:sz w:val="28"/>
          <w:szCs w:val="28"/>
        </w:rPr>
        <w:t>．甲方的义务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right="0"/>
        <w:jc w:val="both"/>
        <w:textAlignment w:val="auto"/>
        <w:outlineLvl w:val="9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6.1</w:t>
      </w:r>
      <w:r>
        <w:rPr>
          <w:rFonts w:hint="eastAsia" w:ascii="仿宋_GB2312" w:eastAsia="仿宋_GB2312"/>
          <w:sz w:val="24"/>
        </w:rPr>
        <w:t>甲方须组织、协调市直行政事业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单位实行定点采购制度。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6.2</w:t>
      </w:r>
      <w:r>
        <w:rPr>
          <w:rFonts w:hint="eastAsia" w:ascii="仿宋_GB2312" w:eastAsia="仿宋_GB2312"/>
          <w:sz w:val="24"/>
        </w:rPr>
        <w:t>在定点采购业务中，乙方和市直行政事业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单位有争议事项或单方面发生不适当行为时，甲方应当积极协调、妥善解决。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rPr>
          <w:rFonts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  <w:lang w:val="en-US" w:eastAsia="zh-CN"/>
        </w:rPr>
        <w:t>7</w:t>
      </w:r>
      <w:r>
        <w:rPr>
          <w:rFonts w:hint="eastAsia" w:ascii="黑体" w:eastAsia="黑体"/>
          <w:b w:val="0"/>
          <w:sz w:val="28"/>
          <w:szCs w:val="28"/>
        </w:rPr>
        <w:t>．乙方的权利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7.1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乙方有权拒绝除合同有关条款以外的任何不合理要求</w:t>
      </w:r>
      <w:r>
        <w:rPr>
          <w:rFonts w:hint="eastAsia" w:ascii="仿宋_GB2312" w:eastAsia="仿宋_GB2312"/>
          <w:sz w:val="24"/>
          <w:lang w:val="en-US"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eastAsia="仿宋_GB2312"/>
          <w:sz w:val="24"/>
          <w:lang w:val="en-US" w:eastAsia="zh-CN"/>
        </w:rPr>
      </w:pPr>
      <w:r>
        <w:rPr>
          <w:rFonts w:hint="eastAsia" w:ascii="仿宋_GB2312" w:eastAsia="仿宋_GB2312"/>
          <w:sz w:val="24"/>
          <w:lang w:val="en-US" w:eastAsia="zh-CN"/>
        </w:rPr>
        <w:t>7.2乙方有权向甲方反映合同执行过程中存在的有关问题。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rPr>
          <w:rFonts w:ascii="黑体" w:eastAsia="黑体"/>
          <w:b w:val="0"/>
          <w:sz w:val="28"/>
          <w:szCs w:val="28"/>
        </w:rPr>
      </w:pPr>
      <w:r>
        <w:rPr>
          <w:rFonts w:hint="eastAsia" w:ascii="黑体" w:eastAsia="黑体"/>
          <w:b w:val="0"/>
          <w:sz w:val="28"/>
          <w:szCs w:val="28"/>
          <w:lang w:val="en-US" w:eastAsia="zh-CN"/>
        </w:rPr>
        <w:t>8</w:t>
      </w:r>
      <w:r>
        <w:rPr>
          <w:rFonts w:hint="eastAsia" w:ascii="黑体" w:eastAsia="黑体"/>
          <w:b w:val="0"/>
          <w:sz w:val="28"/>
          <w:szCs w:val="28"/>
        </w:rPr>
        <w:t>．乙方的义务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.1乙方必须提供符合国家相关标准的办公家具，不得提供假冒伪劣产品；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.2乙方应当按照国家“三包”政策提供服务，“三包”服务期限不得低于二年；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>乙方不得与市直行政事业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单位串通，虚开发票，谋取不正当利益；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4</w:t>
      </w:r>
      <w:r>
        <w:rPr>
          <w:rFonts w:hint="eastAsia" w:ascii="仿宋_GB2312" w:eastAsia="仿宋_GB2312"/>
          <w:sz w:val="24"/>
        </w:rPr>
        <w:t>乙方收取费用时，必须向市直行政事业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单位提供盖有企业印章的正式发票；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5</w:t>
      </w:r>
      <w:r>
        <w:rPr>
          <w:rFonts w:hint="eastAsia" w:ascii="仿宋_GB2312" w:eastAsia="仿宋_GB2312"/>
          <w:sz w:val="24"/>
        </w:rPr>
        <w:t>在定点采购期限内，由于质量等原因造成市直行政事业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单位损失时，应当承担相应的赔偿责任。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6</w:t>
      </w:r>
      <w:r>
        <w:rPr>
          <w:rFonts w:hint="eastAsia" w:ascii="仿宋_GB2312" w:eastAsia="仿宋_GB2312"/>
          <w:sz w:val="24"/>
        </w:rPr>
        <w:t>乙方应严格执行国家和行业主管部门的各项政策与规定。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8.7</w:t>
      </w:r>
      <w:r>
        <w:rPr>
          <w:rFonts w:hint="eastAsia" w:ascii="仿宋_GB2312" w:eastAsia="仿宋_GB2312"/>
          <w:sz w:val="24"/>
        </w:rPr>
        <w:t>乙方应自觉接受甲方的监督、检查。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8</w:t>
      </w:r>
      <w:r>
        <w:rPr>
          <w:rFonts w:hint="eastAsia" w:ascii="仿宋_GB2312" w:eastAsia="仿宋_GB2312"/>
          <w:sz w:val="24"/>
        </w:rPr>
        <w:t>乙方应当明码标价，以便接受监督。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8.9</w:t>
      </w:r>
      <w:r>
        <w:rPr>
          <w:rFonts w:hint="eastAsia" w:ascii="仿宋_GB2312" w:eastAsia="仿宋_GB2312"/>
          <w:sz w:val="24"/>
        </w:rPr>
        <w:t>乙方应严格履行投标文件中的其它承诺。</w:t>
      </w:r>
    </w:p>
    <w:p>
      <w:pPr>
        <w:pStyle w:val="2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验收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lang w:val="en-US" w:eastAsia="zh-CN"/>
        </w:rPr>
        <w:t>9.1</w:t>
      </w:r>
      <w:r>
        <w:rPr>
          <w:rFonts w:hint="eastAsia" w:ascii="仿宋_GB2312" w:eastAsia="仿宋_GB2312"/>
          <w:sz w:val="24"/>
        </w:rPr>
        <w:t>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单位组织验收，验货结果双方认可，验收合格后市直行政事业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单位签署初步验收报告</w:t>
      </w:r>
      <w:r>
        <w:rPr>
          <w:rFonts w:hint="eastAsia" w:ascii="仿宋_GB2312" w:eastAsia="仿宋_GB2312"/>
          <w:sz w:val="24"/>
          <w:lang w:eastAsia="zh-CN"/>
        </w:rPr>
        <w:t>。</w:t>
      </w:r>
      <w:r>
        <w:rPr>
          <w:rFonts w:hint="eastAsia" w:ascii="仿宋_GB2312" w:eastAsia="仿宋_GB2312"/>
          <w:sz w:val="24"/>
        </w:rPr>
        <w:t>验收内容应当包括每一项技术、服务、安全标准的履约情况，不得有缺漏项</w:t>
      </w:r>
      <w:r>
        <w:rPr>
          <w:rFonts w:hint="eastAsia" w:ascii="仿宋_GB2312" w:eastAsia="仿宋_GB2312"/>
          <w:sz w:val="24"/>
          <w:lang w:eastAsia="zh-CN"/>
        </w:rPr>
        <w:t>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9.</w:t>
      </w: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因</w:t>
      </w:r>
      <w:r>
        <w:rPr>
          <w:rFonts w:hint="eastAsia" w:ascii="仿宋_GB2312" w:eastAsia="仿宋_GB2312"/>
          <w:sz w:val="24"/>
          <w:lang w:eastAsia="zh-CN"/>
        </w:rPr>
        <w:t>乙方</w:t>
      </w:r>
      <w:r>
        <w:rPr>
          <w:rFonts w:hint="eastAsia" w:ascii="仿宋_GB2312" w:eastAsia="仿宋_GB2312"/>
          <w:sz w:val="24"/>
        </w:rPr>
        <w:t>的过错，</w:t>
      </w:r>
      <w:r>
        <w:rPr>
          <w:rFonts w:hint="eastAsia" w:ascii="仿宋_GB2312" w:eastAsia="仿宋_GB2312"/>
          <w:sz w:val="24"/>
          <w:lang w:eastAsia="zh-CN"/>
        </w:rPr>
        <w:t>甲方</w:t>
      </w:r>
      <w:r>
        <w:rPr>
          <w:rFonts w:hint="eastAsia" w:ascii="仿宋_GB2312" w:eastAsia="仿宋_GB2312"/>
          <w:sz w:val="24"/>
        </w:rPr>
        <w:t>或市直行政事业</w:t>
      </w:r>
      <w:r>
        <w:rPr>
          <w:rFonts w:hint="eastAsia" w:ascii="仿宋_GB2312" w:eastAsia="仿宋_GB2312"/>
          <w:sz w:val="24"/>
          <w:lang w:eastAsia="zh-CN"/>
        </w:rPr>
        <w:t>采购</w:t>
      </w:r>
      <w:r>
        <w:rPr>
          <w:rFonts w:hint="eastAsia" w:ascii="仿宋_GB2312" w:eastAsia="仿宋_GB2312"/>
          <w:sz w:val="24"/>
        </w:rPr>
        <w:t>单位有权要求退货；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9.</w:t>
      </w:r>
      <w:r>
        <w:rPr>
          <w:rFonts w:hint="eastAsia" w:ascii="仿宋_GB2312" w:eastAsia="仿宋_GB2312" w:cs="黑体"/>
          <w:sz w:val="24"/>
          <w:lang w:val="en-US" w:eastAsia="zh-CN"/>
        </w:rPr>
        <w:t>3乙方</w:t>
      </w:r>
      <w:r>
        <w:rPr>
          <w:rFonts w:hint="eastAsia" w:ascii="仿宋_GB2312" w:eastAsia="仿宋_GB2312" w:cs="黑体"/>
          <w:sz w:val="24"/>
        </w:rPr>
        <w:t>提供产品质量合格证书和第三方检测机构出具检验检测合格报告。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outlineLvl w:val="2"/>
        <w:rPr>
          <w:rFonts w:ascii="黑体" w:eastAsia="黑体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10</w:t>
      </w:r>
      <w:r>
        <w:rPr>
          <w:rFonts w:hint="eastAsia" w:ascii="黑体" w:eastAsia="黑体"/>
          <w:b w:val="0"/>
          <w:bCs/>
          <w:sz w:val="28"/>
          <w:szCs w:val="28"/>
        </w:rPr>
        <w:t>．</w:t>
      </w:r>
      <w:r>
        <w:rPr>
          <w:rFonts w:hint="eastAsia" w:ascii="黑体" w:eastAsia="黑体"/>
          <w:bCs/>
          <w:sz w:val="28"/>
          <w:szCs w:val="28"/>
        </w:rPr>
        <w:t>服务承诺</w:t>
      </w:r>
    </w:p>
    <w:p>
      <w:pPr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10.1乙方对所有部件提供终生维修服务，自验收合格，市直行政事业采购单位签署验收报告之日起计算质量保证期，质保期五年。</w:t>
      </w:r>
    </w:p>
    <w:p>
      <w:pPr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10.2质保期内，一旦家具发生质量问题，乙方保证在接到通知24小时内赶到现场进行修理、更换或退货，费用由乙方负责。</w:t>
      </w:r>
    </w:p>
    <w:p>
      <w:pPr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hint="eastAsia" w:ascii="仿宋_GB2312" w:eastAsia="仿宋_GB2312"/>
          <w:sz w:val="24"/>
          <w:lang w:eastAsia="zh-CN"/>
        </w:rPr>
      </w:pPr>
      <w:r>
        <w:rPr>
          <w:rFonts w:hint="eastAsia" w:ascii="仿宋_GB2312" w:eastAsia="仿宋_GB2312"/>
          <w:sz w:val="24"/>
        </w:rPr>
        <w:t>1</w:t>
      </w:r>
      <w:r>
        <w:rPr>
          <w:rFonts w:hint="eastAsia" w:ascii="仿宋_GB2312" w:eastAsia="仿宋_GB2312"/>
          <w:sz w:val="24"/>
          <w:lang w:val="en-US" w:eastAsia="zh-CN"/>
        </w:rPr>
        <w:t>0</w:t>
      </w:r>
      <w:r>
        <w:rPr>
          <w:rFonts w:hint="eastAsia" w:ascii="仿宋_GB2312" w:eastAsia="仿宋_GB2312"/>
          <w:sz w:val="24"/>
        </w:rPr>
        <w:t>.</w:t>
      </w:r>
      <w:r>
        <w:rPr>
          <w:rFonts w:hint="eastAsia" w:ascii="仿宋_GB2312" w:eastAsia="仿宋_GB2312"/>
          <w:sz w:val="24"/>
          <w:lang w:val="en-US" w:eastAsia="zh-CN"/>
        </w:rPr>
        <w:t>3</w:t>
      </w:r>
      <w:r>
        <w:rPr>
          <w:rFonts w:hint="eastAsia" w:ascii="仿宋_GB2312" w:eastAsia="仿宋_GB2312"/>
          <w:sz w:val="24"/>
        </w:rPr>
        <w:t xml:space="preserve"> 质保期满后，如需更换零部件，</w:t>
      </w:r>
      <w:r>
        <w:rPr>
          <w:rFonts w:hint="eastAsia" w:ascii="仿宋_GB2312" w:eastAsia="仿宋_GB2312"/>
          <w:sz w:val="24"/>
          <w:lang w:eastAsia="zh-CN"/>
        </w:rPr>
        <w:t>乙方</w:t>
      </w:r>
      <w:r>
        <w:rPr>
          <w:rFonts w:hint="eastAsia" w:ascii="仿宋_GB2312" w:eastAsia="仿宋_GB2312"/>
          <w:sz w:val="24"/>
        </w:rPr>
        <w:t>必须以优惠价提供</w:t>
      </w:r>
      <w:r>
        <w:rPr>
          <w:rFonts w:hint="eastAsia" w:ascii="仿宋_GB2312" w:eastAsia="仿宋_GB2312"/>
          <w:sz w:val="24"/>
          <w:lang w:eastAsia="zh-CN"/>
        </w:rPr>
        <w:t>。</w:t>
      </w:r>
    </w:p>
    <w:p>
      <w:pPr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outlineLvl w:val="2"/>
        <w:rPr>
          <w:rFonts w:hint="eastAsia" w:ascii="黑体" w:eastAsia="黑体"/>
          <w:b w:val="0"/>
          <w:bCs/>
          <w:sz w:val="28"/>
          <w:szCs w:val="28"/>
        </w:rPr>
      </w:pPr>
      <w:r>
        <w:rPr>
          <w:rFonts w:hint="eastAsia" w:ascii="黑体" w:eastAsia="黑体"/>
          <w:bCs/>
          <w:sz w:val="28"/>
          <w:szCs w:val="28"/>
          <w:lang w:val="en-US" w:eastAsia="zh-CN"/>
        </w:rPr>
        <w:t>11</w:t>
      </w:r>
      <w:r>
        <w:rPr>
          <w:rFonts w:hint="eastAsia" w:ascii="黑体" w:eastAsia="黑体"/>
          <w:b w:val="0"/>
          <w:bCs/>
          <w:sz w:val="28"/>
          <w:szCs w:val="28"/>
        </w:rPr>
        <w:t>．其它约定事项</w:t>
      </w:r>
    </w:p>
    <w:p>
      <w:pPr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/>
          <w:sz w:val="24"/>
        </w:rPr>
        <w:t>.1本合同执行过程中，不受政策、市场等不确定因素的影响。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eastAsia="仿宋_GB2312"/>
          <w:sz w:val="24"/>
          <w:lang w:val="en-US" w:eastAsia="zh-CN"/>
        </w:rPr>
        <w:t>11</w:t>
      </w:r>
      <w:r>
        <w:rPr>
          <w:rFonts w:hint="eastAsia" w:ascii="仿宋_GB2312" w:eastAsia="仿宋_GB2312"/>
          <w:sz w:val="24"/>
        </w:rPr>
        <w:t>.2</w:t>
      </w:r>
      <w:r>
        <w:rPr>
          <w:rFonts w:hint="eastAsia" w:ascii="仿宋_GB2312" w:eastAsia="仿宋_GB2312"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</w:rPr>
        <w:t>甲乙任何一方如遇不可抗力因素不能履行协议时，应及时通知对方，有关问题由双方协商解决。</w:t>
      </w:r>
    </w:p>
    <w:p>
      <w:pPr>
        <w:keepNext/>
        <w:keepLines/>
        <w:pageBreakBefore w:val="0"/>
        <w:widowControl w:val="0"/>
        <w:suppressLineNumbers w:val="0"/>
        <w:tabs>
          <w:tab w:val="left" w:pos="147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eastAsia="仿宋_GB2312"/>
          <w:b w:val="0"/>
          <w:bCs w:val="0"/>
          <w:sz w:val="24"/>
          <w:szCs w:val="24"/>
          <w:lang w:val="en-US" w:eastAsia="zh-CN"/>
        </w:rPr>
        <w:t xml:space="preserve">11.3 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本合同中履行过程中发生争议，双方应通过协商解决。如协商不成，</w:t>
      </w:r>
      <w:r>
        <w:rPr>
          <w:rFonts w:hint="eastAsia" w:ascii="仿宋_GB2312" w:hAnsi="宋体" w:eastAsia="仿宋_GB2312"/>
          <w:sz w:val="24"/>
          <w:szCs w:val="24"/>
        </w:rPr>
        <w:t>依法向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甲方</w:t>
      </w:r>
      <w:r>
        <w:rPr>
          <w:rFonts w:hint="eastAsia" w:ascii="仿宋_GB2312" w:hAnsi="宋体" w:eastAsia="仿宋_GB2312"/>
          <w:sz w:val="24"/>
          <w:szCs w:val="24"/>
        </w:rPr>
        <w:t>所在地人民法院提起诉讼。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</w:pPr>
      <w:r>
        <w:rPr>
          <w:rFonts w:hint="eastAsia" w:ascii="黑体" w:eastAsia="黑体"/>
          <w:b w:val="0"/>
          <w:color w:val="auto"/>
          <w:sz w:val="28"/>
          <w:szCs w:val="28"/>
          <w:vertAlign w:val="baseline"/>
          <w:lang w:val="en-US" w:eastAsia="zh-CN"/>
        </w:rPr>
        <w:t>12.</w:t>
      </w:r>
      <w:r>
        <w:rPr>
          <w:rFonts w:hint="eastAsia" w:ascii="黑体" w:eastAsia="黑体"/>
          <w:b w:val="0"/>
          <w:color w:val="auto"/>
          <w:sz w:val="28"/>
          <w:szCs w:val="28"/>
          <w:vertAlign w:val="baseline"/>
        </w:rPr>
        <w:t>下列文件为本合同不可分割部分</w:t>
      </w:r>
    </w:p>
    <w:p>
      <w:pPr>
        <w:keepNext/>
        <w:keepLines/>
        <w:pageBreakBefore w:val="0"/>
        <w:widowControl w:val="0"/>
        <w:suppressLineNumbers w:val="0"/>
        <w:tabs>
          <w:tab w:val="left" w:pos="1470"/>
        </w:tabs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12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.1招标文件</w:t>
      </w:r>
    </w:p>
    <w:p>
      <w:pPr>
        <w:pStyle w:val="3"/>
        <w:keepNext/>
        <w:keepLines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12.2投标文件</w:t>
      </w:r>
    </w:p>
    <w:p>
      <w:pPr>
        <w:pStyle w:val="3"/>
        <w:keepNext/>
        <w:keepLines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12.3乙方所做的其他承诺</w:t>
      </w:r>
    </w:p>
    <w:p>
      <w:pPr>
        <w:pStyle w:val="3"/>
        <w:keepNext/>
        <w:keepLines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12.4甲方向受托方晋中市政府采购中心出具的《晋中市财政局关于委托政府采购中心实施定点（协议）采购有关事项的通知》（市财采管[2018]14号）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0" w:leftChars="0" w:firstLine="0" w:firstLineChars="0"/>
        <w:textAlignment w:val="auto"/>
        <w:rPr>
          <w:rFonts w:hint="eastAsia" w:ascii="黑体" w:hAnsi="Calibri" w:eastAsia="黑体" w:cs="黑体"/>
          <w:b w:val="0"/>
          <w:bCs/>
          <w:color w:val="auto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黑体" w:hAnsi="Calibri" w:eastAsia="黑体" w:cs="黑体"/>
          <w:b w:val="0"/>
          <w:bCs/>
          <w:color w:val="auto"/>
          <w:kern w:val="2"/>
          <w:sz w:val="28"/>
          <w:szCs w:val="28"/>
          <w:vertAlign w:val="baseline"/>
          <w:lang w:val="en-US" w:eastAsia="zh-CN" w:bidi="ar-SA"/>
        </w:rPr>
        <w:t>13.合同生效</w:t>
      </w:r>
    </w:p>
    <w:p>
      <w:pPr>
        <w:pStyle w:val="3"/>
        <w:keepNext/>
        <w:keepLines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ind w:left="0" w:right="0" w:firstLine="0"/>
        <w:jc w:val="both"/>
        <w:textAlignment w:val="auto"/>
        <w:outlineLvl w:val="2"/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本合同一式三份，甲乙双方各一份，受托方存档一份，具有同等法律效力，本合同自</w:t>
      </w:r>
      <w:r>
        <w:rPr>
          <w:rFonts w:hint="eastAsia" w:ascii="仿宋_GB2312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受托方晋中市政府采购中心、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乙方</w:t>
      </w:r>
      <w:r>
        <w:rPr>
          <w:rFonts w:hint="eastAsia" w:ascii="仿宋_GB2312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双方</w:t>
      </w:r>
      <w:r>
        <w:rPr>
          <w:rFonts w:hint="eastAsia" w:ascii="仿宋_GB2312" w:hAnsi="Calibri" w:eastAsia="仿宋_GB2312" w:cs="黑体"/>
          <w:b w:val="0"/>
          <w:bCs w:val="0"/>
          <w:kern w:val="2"/>
          <w:sz w:val="24"/>
          <w:szCs w:val="24"/>
          <w:lang w:val="en-US" w:eastAsia="zh-CN" w:bidi="ar-SA"/>
        </w:rPr>
        <w:t>法定代表人或委托代理人签章确认并加盖骑缝章后生效。</w:t>
      </w:r>
    </w:p>
    <w:p>
      <w:pPr>
        <w:pStyle w:val="5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textAlignment w:val="auto"/>
        <w:rPr>
          <w:rFonts w:hint="eastAsia" w:ascii="黑体" w:hAnsi="Calibri" w:eastAsia="黑体"/>
          <w:b w:val="0"/>
          <w:bCs/>
          <w:color w:val="auto"/>
          <w:sz w:val="28"/>
          <w:szCs w:val="28"/>
        </w:rPr>
      </w:pPr>
      <w:r>
        <w:rPr>
          <w:rFonts w:hint="eastAsia" w:ascii="黑体" w:hAnsi="Calibri" w:eastAsia="黑体"/>
          <w:b w:val="0"/>
          <w:bCs/>
          <w:color w:val="auto"/>
          <w:sz w:val="28"/>
          <w:szCs w:val="28"/>
          <w:lang w:val="en-US" w:eastAsia="zh-CN"/>
        </w:rPr>
        <w:t>14.</w:t>
      </w:r>
      <w:r>
        <w:rPr>
          <w:rFonts w:hint="eastAsia" w:ascii="黑体" w:hAnsi="Calibri" w:eastAsia="黑体"/>
          <w:b w:val="0"/>
          <w:bCs/>
          <w:color w:val="auto"/>
          <w:sz w:val="28"/>
          <w:szCs w:val="28"/>
        </w:rPr>
        <w:t>附件明细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50" w:after="0" w:line="400" w:lineRule="exact"/>
        <w:ind w:firstLine="0" w:firstLineChars="0"/>
        <w:jc w:val="left"/>
        <w:textAlignment w:val="auto"/>
        <w:rPr>
          <w:rFonts w:hint="eastAsia" w:ascii="仿宋_GB2312" w:hAnsi="Calibri" w:eastAsia="仿宋_GB2312"/>
          <w:b w:val="0"/>
          <w:bCs w:val="0"/>
          <w:spacing w:val="0"/>
          <w:sz w:val="24"/>
          <w:szCs w:val="24"/>
        </w:rPr>
      </w:pPr>
      <w:r>
        <w:rPr>
          <w:rFonts w:hint="eastAsia" w:ascii="仿宋_GB2312" w:hAnsi="Calibri" w:eastAsia="仿宋_GB2312"/>
          <w:b w:val="0"/>
          <w:bCs w:val="0"/>
          <w:spacing w:val="0"/>
          <w:sz w:val="24"/>
          <w:szCs w:val="24"/>
        </w:rPr>
        <w:t>第一包：木质综合类办公家具常用家具价格表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="0" w:firstLineChars="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szCs w:val="24"/>
        </w:rPr>
        <w:t>第二包：钢质综合类办公家具常用家具价格表</w:t>
      </w:r>
    </w:p>
    <w:p>
      <w:pPr>
        <w:rPr>
          <w:rFonts w:hint="eastAsia"/>
        </w:rPr>
      </w:pPr>
    </w:p>
    <w:tbl>
      <w:tblPr>
        <w:tblStyle w:val="9"/>
        <w:tblpPr w:leftFromText="180" w:rightFromText="180" w:vertAnchor="text" w:horzAnchor="margin" w:tblpY="16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甲方：晋中市财政局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受托方：晋中市政府采购中心 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pStyle w:val="2"/>
            </w:pPr>
          </w:p>
          <w:p>
            <w:pPr>
              <w:snapToGrid w:val="0"/>
              <w:spacing w:line="240" w:lineRule="atLeast"/>
              <w:ind w:left="480"/>
              <w:rPr>
                <w:rFonts w:ascii="仿宋_GB2312" w:eastAsia="仿宋_GB2312"/>
                <w:sz w:val="24"/>
              </w:rPr>
            </w:pPr>
          </w:p>
          <w:p/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法人或委托代理人：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</w:pPr>
          </w:p>
          <w:p/>
          <w:p>
            <w:pPr>
              <w:spacing w:line="360" w:lineRule="auto"/>
              <w:ind w:firstLine="6480" w:firstLineChars="2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日期：     年   月   日</w:t>
            </w:r>
          </w:p>
        </w:tc>
        <w:tc>
          <w:tcPr>
            <w:tcW w:w="4253" w:type="dxa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atLeas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乙方：</w:t>
            </w:r>
            <w:r>
              <w:rPr>
                <w:rFonts w:hint="eastAsia" w:ascii="仿宋_GB2312" w:eastAsia="仿宋_GB2312"/>
                <w:b/>
                <w:sz w:val="24"/>
              </w:rPr>
              <w:t xml:space="preserve"> </w:t>
            </w:r>
          </w:p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</w:t>
            </w:r>
          </w:p>
          <w:p>
            <w:pPr>
              <w:snapToGrid w:val="0"/>
              <w:spacing w:line="240" w:lineRule="atLeast"/>
              <w:ind w:left="480"/>
              <w:rPr>
                <w:rFonts w:ascii="仿宋_GB2312" w:eastAsia="仿宋_GB2312"/>
                <w:sz w:val="24"/>
              </w:rPr>
            </w:pPr>
          </w:p>
          <w:p/>
          <w:p>
            <w:pPr>
              <w:snapToGrid w:val="0"/>
              <w:spacing w:line="240" w:lineRule="atLeast"/>
              <w:rPr>
                <w:rFonts w:ascii="仿宋_GB2312" w:eastAsia="仿宋_GB2312"/>
                <w:b/>
                <w:sz w:val="24"/>
              </w:rPr>
            </w:pPr>
          </w:p>
          <w:p>
            <w:pPr>
              <w:snapToGrid w:val="0"/>
              <w:spacing w:line="240" w:lineRule="atLeast"/>
              <w:ind w:left="480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法人或委托代理人：</w:t>
            </w:r>
          </w:p>
          <w:p>
            <w:pPr>
              <w:snapToGrid w:val="0"/>
              <w:spacing w:line="240" w:lineRule="atLeast"/>
              <w:ind w:left="480"/>
              <w:rPr>
                <w:rFonts w:ascii="仿宋_GB2312" w:eastAsia="仿宋_GB2312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/>
          <w:p>
            <w:pPr>
              <w:pStyle w:val="2"/>
              <w:rPr>
                <w:rFonts w:hint="eastAsia" w:ascii="仿宋_GB2312" w:eastAsia="仿宋_GB2312"/>
                <w:sz w:val="24"/>
                <w:lang w:eastAsia="zh-CN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日期：     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C1D621"/>
    <w:multiLevelType w:val="singleLevel"/>
    <w:tmpl w:val="D7C1D621"/>
    <w:lvl w:ilvl="0" w:tentative="0">
      <w:start w:val="9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C1E26"/>
    <w:rsid w:val="20DA2A29"/>
    <w:rsid w:val="35735604"/>
    <w:rsid w:val="4E963220"/>
    <w:rsid w:val="5E015ADB"/>
    <w:rsid w:val="611C1E26"/>
    <w:rsid w:val="64F10331"/>
    <w:rsid w:val="7F3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4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4">
    <w:name w:val="正文缩进1"/>
    <w:basedOn w:val="1"/>
    <w:qFormat/>
    <w:uiPriority w:val="0"/>
    <w:pPr>
      <w:ind w:firstLine="420"/>
    </w:pPr>
    <w:rPr>
      <w:szCs w:val="20"/>
    </w:rPr>
  </w:style>
  <w:style w:type="paragraph" w:styleId="5">
    <w:name w:val="Normal Indent"/>
    <w:basedOn w:val="1"/>
    <w:qFormat/>
    <w:uiPriority w:val="0"/>
    <w:pPr>
      <w:ind w:firstLine="200" w:firstLineChars="200"/>
    </w:p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2021-11-04T06:43:00Z</dcterms:created>
  <dc:creator>立夏®</dc:creator>
  <cp:lastModifiedBy>韩晓燕 </cp:lastModifiedBy>
  <dcterms:modified xsi:type="dcterms:W3CDTF">2021-11-17T08:18:47Z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  <property fmtid="{D5CDD505-2E9C-101B-9397-08002B2CF9AE}" pid="3" name="ICV">
    <vt:lpwstr>B7C5DA6EE13C4D98870DD43F99F73075</vt:lpwstr>
  </property>
</Properties>
</file>