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left"/>
        <w:rPr>
          <w:rFonts w:ascii="仿宋" w:hAnsi="仿宋" w:eastAsia="仿宋"/>
          <w:szCs w:val="32"/>
        </w:rPr>
      </w:pPr>
    </w:p>
    <w:p>
      <w:pPr>
        <w:ind w:firstLine="880"/>
        <w:jc w:val="center"/>
        <w:rPr>
          <w:rFonts w:hint="eastAsia" w:ascii="黑体" w:hAnsi="华文中宋" w:eastAsia="黑体"/>
          <w:sz w:val="44"/>
          <w:szCs w:val="44"/>
        </w:rPr>
      </w:pPr>
      <w:r>
        <w:rPr>
          <w:rFonts w:hint="eastAsia" w:ascii="黑体" w:hAnsi="华文中宋" w:eastAsia="黑体"/>
          <w:sz w:val="44"/>
          <w:szCs w:val="44"/>
        </w:rPr>
        <w:t>晋中</w:t>
      </w:r>
      <w:r>
        <w:rPr>
          <w:rFonts w:hint="eastAsia" w:ascii="黑体" w:hAnsi="华文中宋" w:eastAsia="黑体"/>
          <w:sz w:val="44"/>
          <w:szCs w:val="44"/>
          <w:lang w:eastAsia="zh-CN"/>
        </w:rPr>
        <w:t>市工人文化宫</w:t>
      </w:r>
      <w:r>
        <w:rPr>
          <w:rFonts w:hint="eastAsia" w:ascii="黑体" w:hAnsi="华文中宋" w:eastAsia="黑体"/>
          <w:sz w:val="44"/>
          <w:szCs w:val="44"/>
        </w:rPr>
        <w:t>2017年度部门决算</w:t>
      </w:r>
    </w:p>
    <w:p>
      <w:pPr>
        <w:spacing w:line="580" w:lineRule="exact"/>
        <w:ind w:firstLine="600"/>
        <w:rPr>
          <w:rFonts w:hint="eastAsia"/>
          <w:sz w:val="30"/>
          <w:szCs w:val="30"/>
        </w:rPr>
      </w:pPr>
    </w:p>
    <w:p>
      <w:pPr>
        <w:ind w:firstLine="640"/>
        <w:rPr>
          <w:rFonts w:ascii="黑体" w:hAnsi="黑体" w:eastAsia="黑体"/>
          <w:szCs w:val="32"/>
        </w:rPr>
      </w:pPr>
      <w:r>
        <w:rPr>
          <w:rFonts w:hint="eastAsia" w:ascii="黑体" w:hAnsi="黑体" w:eastAsia="黑体"/>
          <w:szCs w:val="32"/>
        </w:rPr>
        <w:t>第一部分  概况</w:t>
      </w:r>
    </w:p>
    <w:p>
      <w:pPr>
        <w:ind w:firstLine="640" w:firstLineChars="200"/>
        <w:rPr>
          <w:rFonts w:hint="eastAsia" w:ascii="仿宋_GB2312"/>
          <w:szCs w:val="32"/>
        </w:rPr>
      </w:pPr>
      <w:r>
        <w:rPr>
          <w:rFonts w:hint="eastAsia" w:ascii="仿宋_GB2312"/>
          <w:szCs w:val="32"/>
        </w:rPr>
        <w:t>一、本部门职责</w:t>
      </w:r>
    </w:p>
    <w:p>
      <w:pPr>
        <w:ind w:firstLine="640" w:firstLineChars="200"/>
        <w:rPr>
          <w:rFonts w:hint="eastAsia" w:ascii="仿宋" w:hAnsi="仿宋" w:eastAsia="仿宋"/>
          <w:sz w:val="32"/>
          <w:szCs w:val="32"/>
        </w:rPr>
      </w:pPr>
      <w:r>
        <w:rPr>
          <w:rFonts w:hint="eastAsia" w:ascii="仿宋" w:hAnsi="仿宋" w:eastAsia="仿宋"/>
          <w:sz w:val="32"/>
          <w:szCs w:val="32"/>
        </w:rPr>
        <w:t>广大职工群众的学校、乐园。</w:t>
      </w:r>
    </w:p>
    <w:p>
      <w:pPr>
        <w:numPr>
          <w:ilvl w:val="0"/>
          <w:numId w:val="1"/>
        </w:numPr>
        <w:ind w:left="0" w:leftChars="0" w:firstLine="640" w:firstLineChars="200"/>
        <w:rPr>
          <w:rFonts w:hint="eastAsia" w:ascii="仿宋_GB2312"/>
          <w:szCs w:val="32"/>
        </w:rPr>
      </w:pPr>
      <w:r>
        <w:rPr>
          <w:rFonts w:hint="eastAsia" w:ascii="仿宋_GB2312"/>
          <w:szCs w:val="32"/>
        </w:rPr>
        <w:t>机构设置情况</w:t>
      </w:r>
    </w:p>
    <w:p>
      <w:pPr>
        <w:ind w:firstLine="640" w:firstLineChars="200"/>
        <w:rPr>
          <w:rFonts w:hint="eastAsia" w:ascii="仿宋_GB2312"/>
          <w:szCs w:val="32"/>
        </w:rPr>
      </w:pPr>
      <w:r>
        <w:rPr>
          <w:rFonts w:hint="eastAsia" w:ascii="仿宋" w:hAnsi="仿宋" w:eastAsia="仿宋"/>
          <w:sz w:val="32"/>
          <w:szCs w:val="32"/>
        </w:rPr>
        <w:t>部门决算由晋中市工人俱乐部构成。</w:t>
      </w:r>
    </w:p>
    <w:p>
      <w:pPr>
        <w:numPr>
          <w:ilvl w:val="0"/>
          <w:numId w:val="2"/>
        </w:numPr>
        <w:ind w:firstLine="640"/>
        <w:rPr>
          <w:rFonts w:hint="eastAsia" w:ascii="黑体" w:hAnsi="黑体" w:eastAsia="黑体"/>
          <w:szCs w:val="32"/>
        </w:rPr>
      </w:pPr>
      <w:r>
        <w:rPr>
          <w:rFonts w:hint="eastAsia" w:ascii="黑体" w:hAnsi="黑体" w:eastAsia="黑体"/>
          <w:szCs w:val="32"/>
        </w:rPr>
        <w:t xml:space="preserve"> 2017年度部门决算报表</w:t>
      </w:r>
    </w:p>
    <w:p>
      <w:pPr>
        <w:numPr>
          <w:numId w:val="0"/>
        </w:numPr>
        <w:ind w:firstLine="640" w:firstLineChars="200"/>
        <w:rPr>
          <w:rFonts w:hint="eastAsia" w:ascii="宋体" w:hAnsi="宋体" w:eastAsia="宋体"/>
          <w:szCs w:val="32"/>
        </w:rPr>
      </w:pPr>
      <w:r>
        <w:rPr>
          <w:rFonts w:hint="eastAsia" w:ascii="宋体" w:hAnsi="宋体" w:eastAsia="宋体"/>
          <w:szCs w:val="32"/>
        </w:rPr>
        <w:t>一、收入支出决算总表</w:t>
      </w:r>
    </w:p>
    <w:p>
      <w:pPr>
        <w:ind w:firstLine="640"/>
        <w:rPr>
          <w:rFonts w:hint="eastAsia" w:ascii="宋体" w:hAnsi="宋体" w:eastAsia="宋体"/>
          <w:szCs w:val="32"/>
        </w:rPr>
      </w:pPr>
      <w:r>
        <w:rPr>
          <w:rFonts w:hint="eastAsia" w:ascii="宋体" w:hAnsi="宋体" w:eastAsia="宋体"/>
          <w:szCs w:val="32"/>
        </w:rPr>
        <w:t>二、收入决算表</w:t>
      </w:r>
    </w:p>
    <w:p>
      <w:pPr>
        <w:ind w:firstLine="640"/>
        <w:rPr>
          <w:rFonts w:hint="eastAsia" w:ascii="宋体" w:hAnsi="宋体" w:eastAsia="宋体"/>
          <w:szCs w:val="32"/>
        </w:rPr>
      </w:pPr>
      <w:r>
        <w:rPr>
          <w:rFonts w:hint="eastAsia" w:ascii="宋体" w:hAnsi="宋体" w:eastAsia="宋体"/>
          <w:szCs w:val="32"/>
        </w:rPr>
        <w:t>三、支出决算表</w:t>
      </w:r>
    </w:p>
    <w:p>
      <w:pPr>
        <w:ind w:firstLine="640"/>
        <w:rPr>
          <w:rFonts w:hint="eastAsia" w:ascii="宋体" w:hAnsi="宋体" w:eastAsia="宋体"/>
          <w:szCs w:val="32"/>
        </w:rPr>
      </w:pPr>
      <w:r>
        <w:rPr>
          <w:rFonts w:hint="eastAsia" w:ascii="宋体" w:hAnsi="宋体" w:eastAsia="宋体"/>
          <w:szCs w:val="32"/>
        </w:rPr>
        <w:t>四、财政拨款收入支出决算总表</w:t>
      </w:r>
    </w:p>
    <w:p>
      <w:pPr>
        <w:ind w:firstLine="640"/>
        <w:rPr>
          <w:rFonts w:hint="eastAsia" w:ascii="宋体" w:hAnsi="宋体" w:eastAsia="宋体"/>
          <w:szCs w:val="32"/>
        </w:rPr>
      </w:pPr>
      <w:r>
        <w:rPr>
          <w:rFonts w:hint="eastAsia" w:ascii="宋体" w:hAnsi="宋体" w:eastAsia="宋体"/>
          <w:szCs w:val="32"/>
        </w:rPr>
        <w:t>五、一般公共预算财政拨款支出决算表（一）</w:t>
      </w:r>
    </w:p>
    <w:p>
      <w:pPr>
        <w:ind w:firstLine="640"/>
        <w:rPr>
          <w:rFonts w:hint="eastAsia" w:ascii="宋体" w:hAnsi="宋体" w:eastAsia="宋体"/>
          <w:szCs w:val="32"/>
        </w:rPr>
      </w:pPr>
      <w:r>
        <w:rPr>
          <w:rFonts w:hint="eastAsia" w:ascii="宋体" w:hAnsi="宋体" w:eastAsia="宋体"/>
          <w:szCs w:val="32"/>
        </w:rPr>
        <w:t>六、一般公共预算财政拨款支出决算表（二）</w:t>
      </w:r>
    </w:p>
    <w:p>
      <w:pPr>
        <w:ind w:firstLine="640"/>
        <w:rPr>
          <w:rFonts w:hint="eastAsia" w:ascii="宋体" w:hAnsi="宋体" w:eastAsia="宋体"/>
          <w:szCs w:val="32"/>
        </w:rPr>
      </w:pPr>
      <w:r>
        <w:rPr>
          <w:rFonts w:hint="eastAsia" w:ascii="宋体" w:hAnsi="宋体" w:eastAsia="宋体"/>
          <w:szCs w:val="32"/>
        </w:rPr>
        <w:t>七、一般公共预算财政拨款“三公”经费支出表</w:t>
      </w:r>
    </w:p>
    <w:p>
      <w:pPr>
        <w:ind w:firstLine="640"/>
        <w:rPr>
          <w:rFonts w:hint="eastAsia" w:ascii="宋体" w:hAnsi="宋体" w:eastAsia="宋体"/>
          <w:szCs w:val="32"/>
        </w:rPr>
      </w:pPr>
      <w:r>
        <w:rPr>
          <w:rFonts w:hint="eastAsia" w:ascii="宋体" w:hAnsi="宋体" w:eastAsia="宋体"/>
          <w:szCs w:val="32"/>
        </w:rPr>
        <w:t>八、政府性基金预算财政拨款收入支出决算表</w:t>
      </w:r>
    </w:p>
    <w:p>
      <w:pPr>
        <w:ind w:firstLine="640"/>
        <w:rPr>
          <w:rFonts w:ascii="宋体" w:hAnsi="宋体" w:eastAsia="宋体"/>
          <w:szCs w:val="32"/>
        </w:rPr>
      </w:pPr>
      <w:r>
        <w:rPr>
          <w:rFonts w:hint="eastAsia" w:ascii="宋体" w:hAnsi="宋体" w:eastAsia="宋体"/>
          <w:szCs w:val="32"/>
        </w:rPr>
        <w:t>九、部门决算公开相关信息统计表</w:t>
      </w:r>
    </w:p>
    <w:p>
      <w:pPr>
        <w:ind w:firstLine="640"/>
        <w:rPr>
          <w:rFonts w:hint="eastAsia" w:ascii="黑体" w:hAnsi="黑体" w:eastAsia="黑体"/>
          <w:szCs w:val="32"/>
        </w:rPr>
      </w:pPr>
      <w:r>
        <w:rPr>
          <w:rFonts w:hint="eastAsia" w:ascii="黑体" w:hAnsi="黑体" w:eastAsia="黑体"/>
          <w:szCs w:val="32"/>
        </w:rPr>
        <w:t>第三部分  2017年度部门决算情况说明</w:t>
      </w:r>
    </w:p>
    <w:p>
      <w:pPr>
        <w:ind w:firstLine="643"/>
        <w:rPr>
          <w:rFonts w:ascii="仿宋_GB2312"/>
          <w:szCs w:val="32"/>
        </w:rPr>
      </w:pPr>
      <w:r>
        <w:rPr>
          <w:rFonts w:hint="eastAsia" w:ascii="仿宋_GB2312"/>
          <w:b/>
          <w:szCs w:val="32"/>
        </w:rPr>
        <w:t>一、收入决算情况说明</w:t>
      </w:r>
    </w:p>
    <w:p>
      <w:pPr>
        <w:spacing w:line="580" w:lineRule="exact"/>
        <w:ind w:firstLine="640"/>
        <w:rPr>
          <w:rFonts w:hint="eastAsia" w:ascii="仿宋" w:hAnsi="仿宋" w:eastAsia="仿宋" w:cs="仿宋"/>
          <w:sz w:val="32"/>
          <w:szCs w:val="32"/>
          <w:lang w:eastAsia="zh-CN"/>
        </w:rPr>
      </w:pPr>
      <w:r>
        <w:rPr>
          <w:rFonts w:hint="eastAsia" w:ascii="仿宋_GB2312"/>
          <w:szCs w:val="32"/>
        </w:rPr>
        <w:t>本年收入合计</w:t>
      </w:r>
      <w:r>
        <w:rPr>
          <w:rFonts w:hint="eastAsia" w:ascii="仿宋_GB2312"/>
          <w:szCs w:val="32"/>
          <w:lang w:val="en-US" w:eastAsia="zh-CN"/>
        </w:rPr>
        <w:t>116.1</w:t>
      </w:r>
      <w:r>
        <w:rPr>
          <w:rFonts w:hint="eastAsia" w:ascii="仿宋_GB2312"/>
          <w:szCs w:val="32"/>
        </w:rPr>
        <w:t>万元，</w:t>
      </w:r>
      <w:r>
        <w:rPr>
          <w:rFonts w:hint="eastAsia" w:ascii="仿宋" w:hAnsi="仿宋" w:eastAsia="仿宋" w:cs="仿宋"/>
          <w:sz w:val="32"/>
          <w:szCs w:val="32"/>
          <w:lang w:eastAsia="zh-CN"/>
        </w:rPr>
        <w:t>全部为财政拨款收入。</w:t>
      </w:r>
    </w:p>
    <w:p>
      <w:pPr>
        <w:spacing w:line="580" w:lineRule="exact"/>
        <w:ind w:left="0" w:leftChars="0" w:firstLine="643" w:firstLineChars="200"/>
        <w:rPr>
          <w:rFonts w:hint="eastAsia" w:ascii="仿宋_GB2312"/>
          <w:b/>
          <w:szCs w:val="32"/>
        </w:rPr>
      </w:pPr>
      <w:r>
        <w:rPr>
          <w:rFonts w:hint="eastAsia" w:ascii="仿宋_GB2312"/>
          <w:b/>
          <w:szCs w:val="32"/>
        </w:rPr>
        <w:t>二、支出决算情况说明</w:t>
      </w:r>
    </w:p>
    <w:p>
      <w:pPr>
        <w:spacing w:line="580" w:lineRule="exact"/>
        <w:ind w:firstLine="640"/>
        <w:rPr>
          <w:rFonts w:hint="eastAsia" w:ascii="仿宋_GB2312"/>
          <w:szCs w:val="32"/>
        </w:rPr>
      </w:pPr>
      <w:r>
        <w:rPr>
          <w:rFonts w:hint="eastAsia" w:ascii="仿宋_GB2312"/>
          <w:szCs w:val="32"/>
        </w:rPr>
        <w:t>本年支出合计</w:t>
      </w:r>
      <w:bookmarkStart w:id="0" w:name="_GoBack"/>
      <w:bookmarkEnd w:id="0"/>
      <w:r>
        <w:rPr>
          <w:rFonts w:hint="eastAsia" w:ascii="仿宋_GB2312"/>
          <w:szCs w:val="32"/>
          <w:lang w:val="en-US" w:eastAsia="zh-CN"/>
        </w:rPr>
        <w:t>116.1</w:t>
      </w:r>
      <w:r>
        <w:rPr>
          <w:rFonts w:hint="eastAsia" w:ascii="仿宋_GB2312"/>
          <w:szCs w:val="32"/>
        </w:rPr>
        <w:t>万元，</w:t>
      </w:r>
      <w:r>
        <w:rPr>
          <w:rFonts w:hint="eastAsia" w:ascii="仿宋_GB2312"/>
          <w:szCs w:val="32"/>
          <w:lang w:eastAsia="zh-CN"/>
        </w:rPr>
        <w:t>全部为</w:t>
      </w:r>
      <w:r>
        <w:rPr>
          <w:rFonts w:hint="eastAsia" w:ascii="仿宋_GB2312"/>
          <w:szCs w:val="32"/>
        </w:rPr>
        <w:t>基本支出。</w:t>
      </w:r>
    </w:p>
    <w:p>
      <w:pPr>
        <w:spacing w:line="580" w:lineRule="exact"/>
        <w:ind w:firstLine="643"/>
        <w:rPr>
          <w:rFonts w:hint="eastAsia" w:ascii="仿宋_GB2312"/>
          <w:b/>
          <w:szCs w:val="32"/>
        </w:rPr>
      </w:pPr>
      <w:r>
        <w:rPr>
          <w:rFonts w:hint="eastAsia" w:ascii="仿宋_GB2312"/>
          <w:b/>
          <w:szCs w:val="32"/>
        </w:rPr>
        <w:t>三、支出决算具体情况</w:t>
      </w:r>
    </w:p>
    <w:p>
      <w:pPr>
        <w:spacing w:line="58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社会保障和就业支出111.18万元，完成预算的106%，用于</w:t>
      </w:r>
      <w:r>
        <w:rPr>
          <w:rFonts w:hint="eastAsia" w:ascii="仿宋" w:hAnsi="仿宋" w:eastAsia="仿宋" w:cs="仿宋"/>
          <w:sz w:val="32"/>
          <w:szCs w:val="32"/>
          <w:lang w:eastAsia="zh-CN"/>
        </w:rPr>
        <w:t>发放离退休人员工资。较</w:t>
      </w:r>
      <w:r>
        <w:rPr>
          <w:rFonts w:hint="eastAsia" w:ascii="仿宋" w:hAnsi="仿宋" w:eastAsia="仿宋" w:cs="仿宋"/>
          <w:sz w:val="32"/>
          <w:szCs w:val="32"/>
          <w:lang w:val="en-US" w:eastAsia="zh-CN"/>
        </w:rPr>
        <w:t>2016年决算增加12.09万元，增长12.2%，主要原因是人员增资。</w:t>
      </w:r>
    </w:p>
    <w:p>
      <w:pPr>
        <w:spacing w:line="58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医疗卫生与计划生育支出0.24万元，完成预算的100%，用于支付离退休人员医疗保险</w:t>
      </w:r>
      <w:r>
        <w:rPr>
          <w:rFonts w:hint="eastAsia" w:ascii="仿宋" w:hAnsi="仿宋" w:eastAsia="仿宋" w:cs="仿宋"/>
          <w:sz w:val="32"/>
          <w:szCs w:val="32"/>
          <w:lang w:eastAsia="zh-CN"/>
        </w:rPr>
        <w:t>。较</w:t>
      </w:r>
      <w:r>
        <w:rPr>
          <w:rFonts w:hint="eastAsia" w:ascii="仿宋" w:hAnsi="仿宋" w:eastAsia="仿宋" w:cs="仿宋"/>
          <w:sz w:val="32"/>
          <w:szCs w:val="32"/>
          <w:lang w:val="en-US" w:eastAsia="zh-CN"/>
        </w:rPr>
        <w:t>2016年决算增加0.02万元，增长9.09%，主要原因是人员增资。</w:t>
      </w:r>
    </w:p>
    <w:p>
      <w:pPr>
        <w:spacing w:line="58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住房保障支出4.68万元，完成预算的100%，用于离退休提租补贴。</w:t>
      </w:r>
      <w:r>
        <w:rPr>
          <w:rFonts w:hint="eastAsia" w:ascii="仿宋" w:hAnsi="仿宋" w:eastAsia="仿宋" w:cs="仿宋"/>
          <w:sz w:val="32"/>
          <w:szCs w:val="32"/>
          <w:lang w:eastAsia="zh-CN"/>
        </w:rPr>
        <w:t>较</w:t>
      </w:r>
      <w:r>
        <w:rPr>
          <w:rFonts w:hint="eastAsia" w:ascii="仿宋" w:hAnsi="仿宋" w:eastAsia="仿宋" w:cs="仿宋"/>
          <w:sz w:val="32"/>
          <w:szCs w:val="32"/>
          <w:lang w:val="en-US" w:eastAsia="zh-CN"/>
        </w:rPr>
        <w:t>2016年决算增加0.36万元，增长8%，主要原因是人员增资。</w:t>
      </w:r>
    </w:p>
    <w:p>
      <w:pPr>
        <w:numPr>
          <w:numId w:val="0"/>
        </w:numPr>
        <w:spacing w:line="580" w:lineRule="exact"/>
        <w:ind w:leftChars="200"/>
        <w:rPr>
          <w:rFonts w:hint="eastAsia" w:ascii="仿宋_GB2312"/>
          <w:b/>
          <w:szCs w:val="32"/>
        </w:rPr>
      </w:pPr>
      <w:r>
        <w:rPr>
          <w:rFonts w:hint="eastAsia" w:ascii="仿宋_GB2312"/>
          <w:b/>
          <w:szCs w:val="32"/>
          <w:lang w:eastAsia="zh-CN"/>
        </w:rPr>
        <w:t>四、</w:t>
      </w:r>
      <w:r>
        <w:rPr>
          <w:rFonts w:hint="eastAsia" w:ascii="仿宋_GB2312"/>
          <w:b/>
          <w:szCs w:val="32"/>
        </w:rPr>
        <w:t>关于“三公”经费支出决算情况说明。</w:t>
      </w:r>
    </w:p>
    <w:p>
      <w:pPr>
        <w:numPr>
          <w:numId w:val="0"/>
        </w:numPr>
        <w:spacing w:line="580" w:lineRule="exact"/>
        <w:ind w:leftChars="200"/>
        <w:rPr>
          <w:rFonts w:hint="eastAsia" w:ascii="仿宋_GB2312" w:eastAsia="仿宋_GB2312"/>
          <w:b w:val="0"/>
          <w:bCs/>
          <w:szCs w:val="32"/>
          <w:lang w:eastAsia="zh-CN"/>
        </w:rPr>
      </w:pPr>
      <w:r>
        <w:rPr>
          <w:rFonts w:hint="eastAsia" w:ascii="仿宋_GB2312"/>
          <w:b w:val="0"/>
          <w:bCs/>
          <w:szCs w:val="32"/>
          <w:lang w:eastAsia="zh-CN"/>
        </w:rPr>
        <w:t>无</w:t>
      </w:r>
    </w:p>
    <w:p>
      <w:pPr>
        <w:numPr>
          <w:ilvl w:val="0"/>
          <w:numId w:val="3"/>
        </w:numPr>
        <w:spacing w:line="580" w:lineRule="exact"/>
        <w:ind w:firstLine="643"/>
        <w:rPr>
          <w:rFonts w:hint="eastAsia" w:ascii="仿宋_GB2312"/>
          <w:b/>
          <w:szCs w:val="32"/>
        </w:rPr>
      </w:pPr>
      <w:r>
        <w:rPr>
          <w:rFonts w:hint="eastAsia" w:ascii="仿宋_GB2312"/>
          <w:b/>
          <w:szCs w:val="32"/>
        </w:rPr>
        <w:t>关于机关运行经费支出说明</w:t>
      </w:r>
    </w:p>
    <w:p>
      <w:pPr>
        <w:numPr>
          <w:numId w:val="0"/>
        </w:numPr>
        <w:spacing w:line="580" w:lineRule="exact"/>
        <w:ind w:firstLine="640" w:firstLineChars="200"/>
        <w:rPr>
          <w:rFonts w:hint="eastAsia" w:ascii="仿宋_GB2312" w:eastAsia="仿宋_GB2312"/>
          <w:b/>
          <w:szCs w:val="32"/>
          <w:lang w:val="en-US" w:eastAsia="zh-CN"/>
        </w:rPr>
      </w:pPr>
      <w:r>
        <w:rPr>
          <w:rFonts w:hint="eastAsia" w:ascii="仿宋_GB2312"/>
          <w:b w:val="0"/>
          <w:bCs/>
          <w:szCs w:val="32"/>
          <w:lang w:eastAsia="zh-CN"/>
        </w:rPr>
        <w:t>无</w:t>
      </w:r>
      <w:r>
        <w:rPr>
          <w:rFonts w:hint="eastAsia" w:ascii="仿宋_GB2312"/>
          <w:b/>
          <w:szCs w:val="32"/>
          <w:lang w:val="en-US" w:eastAsia="zh-CN"/>
        </w:rPr>
        <w:t xml:space="preserve"> </w:t>
      </w:r>
    </w:p>
    <w:p>
      <w:pPr>
        <w:numPr>
          <w:ilvl w:val="0"/>
          <w:numId w:val="3"/>
        </w:numPr>
        <w:spacing w:line="580" w:lineRule="exact"/>
        <w:ind w:left="0" w:leftChars="0" w:firstLine="643" w:firstLineChars="200"/>
        <w:rPr>
          <w:rFonts w:hint="eastAsia" w:ascii="仿宋_GB2312" w:eastAsia="仿宋_GB2312"/>
          <w:b/>
          <w:szCs w:val="32"/>
          <w:lang w:eastAsia="zh-CN"/>
        </w:rPr>
      </w:pPr>
      <w:r>
        <w:rPr>
          <w:rFonts w:hint="eastAsia" w:ascii="仿宋_GB2312"/>
          <w:b/>
          <w:szCs w:val="32"/>
        </w:rPr>
        <w:t>关于国有资产占用情况说明</w:t>
      </w:r>
    </w:p>
    <w:p>
      <w:pPr>
        <w:spacing w:line="580" w:lineRule="exact"/>
        <w:ind w:firstLine="640"/>
        <w:rPr>
          <w:rFonts w:hint="eastAsia" w:ascii="仿宋_GB2312"/>
          <w:szCs w:val="32"/>
        </w:rPr>
      </w:pPr>
      <w:r>
        <w:rPr>
          <w:rFonts w:hint="eastAsia" w:ascii="仿宋_GB2312"/>
          <w:szCs w:val="32"/>
          <w:lang w:eastAsia="zh-CN"/>
        </w:rPr>
        <w:t>无</w:t>
      </w:r>
    </w:p>
    <w:p>
      <w:pPr>
        <w:spacing w:line="580" w:lineRule="exact"/>
        <w:ind w:firstLine="643"/>
        <w:rPr>
          <w:rFonts w:hint="eastAsia" w:ascii="仿宋_GB2312"/>
          <w:b/>
          <w:szCs w:val="32"/>
        </w:rPr>
      </w:pPr>
      <w:r>
        <w:rPr>
          <w:rFonts w:hint="eastAsia" w:ascii="仿宋_GB2312"/>
          <w:b/>
          <w:szCs w:val="32"/>
        </w:rPr>
        <w:t>七、政府采购情况</w:t>
      </w:r>
    </w:p>
    <w:p>
      <w:pPr>
        <w:spacing w:line="580" w:lineRule="exact"/>
        <w:ind w:firstLine="640"/>
        <w:rPr>
          <w:rFonts w:hint="eastAsia" w:ascii="仿宋_GB2312"/>
          <w:szCs w:val="32"/>
        </w:rPr>
      </w:pPr>
      <w:r>
        <w:rPr>
          <w:rFonts w:hint="eastAsia" w:ascii="仿宋_GB2312"/>
          <w:szCs w:val="32"/>
          <w:lang w:eastAsia="zh-CN"/>
        </w:rPr>
        <w:t>无</w:t>
      </w:r>
    </w:p>
    <w:p>
      <w:pPr>
        <w:spacing w:line="580" w:lineRule="exact"/>
        <w:ind w:firstLine="643"/>
        <w:rPr>
          <w:rFonts w:hint="eastAsia" w:ascii="仿宋_GB2312"/>
          <w:b/>
          <w:szCs w:val="32"/>
        </w:rPr>
      </w:pPr>
      <w:r>
        <w:rPr>
          <w:rFonts w:hint="eastAsia" w:ascii="仿宋_GB2312"/>
          <w:b/>
          <w:szCs w:val="32"/>
        </w:rPr>
        <w:t>八、其他需要说明的情况。</w:t>
      </w:r>
    </w:p>
    <w:p>
      <w:pPr>
        <w:spacing w:line="580" w:lineRule="exact"/>
        <w:ind w:firstLine="640"/>
        <w:rPr>
          <w:rFonts w:hint="eastAsia" w:ascii="仿宋_GB2312"/>
          <w:szCs w:val="32"/>
        </w:rPr>
      </w:pPr>
      <w:r>
        <w:rPr>
          <w:rFonts w:hint="eastAsia" w:ascii="仿宋_GB2312"/>
          <w:szCs w:val="32"/>
        </w:rPr>
        <w:t>2017年度，</w:t>
      </w:r>
      <w:r>
        <w:rPr>
          <w:rFonts w:hint="eastAsia" w:ascii="仿宋_GB2312"/>
          <w:szCs w:val="32"/>
          <w:lang w:eastAsia="zh-CN"/>
        </w:rPr>
        <w:t>我单位没有</w:t>
      </w:r>
      <w:r>
        <w:rPr>
          <w:rFonts w:hint="eastAsia" w:ascii="仿宋_GB2312"/>
          <w:szCs w:val="32"/>
        </w:rPr>
        <w:t>实行绩效目标管理的项目。</w:t>
      </w:r>
    </w:p>
    <w:p>
      <w:pPr>
        <w:ind w:firstLine="640"/>
        <w:rPr>
          <w:rFonts w:hint="eastAsia" w:ascii="黑体" w:hAnsi="黑体" w:eastAsia="黑体"/>
          <w:szCs w:val="32"/>
        </w:rPr>
      </w:pPr>
      <w:r>
        <w:rPr>
          <w:rFonts w:hint="eastAsia" w:ascii="黑体" w:hAnsi="黑体" w:eastAsia="黑体"/>
          <w:szCs w:val="32"/>
        </w:rPr>
        <w:t>第四部分  名词解释</w:t>
      </w:r>
    </w:p>
    <w:p>
      <w:pPr>
        <w:spacing w:line="580" w:lineRule="exact"/>
        <w:ind w:firstLine="643"/>
        <w:rPr>
          <w:szCs w:val="32"/>
        </w:rPr>
      </w:pPr>
      <w:r>
        <w:rPr>
          <w:rFonts w:hint="eastAsia" w:ascii="仿宋_GB2312"/>
          <w:b/>
          <w:szCs w:val="32"/>
        </w:rPr>
        <w:t>（一）基本支出：</w:t>
      </w:r>
      <w:r>
        <w:rPr>
          <w:rFonts w:hint="eastAsia" w:ascii="仿宋_GB2312"/>
          <w:szCs w:val="32"/>
        </w:rPr>
        <w:t>指为保障机构正常运转、完成日常工作任务而发生的人员支出和公用支出。</w:t>
      </w:r>
    </w:p>
    <w:p>
      <w:pPr>
        <w:autoSpaceDE w:val="0"/>
        <w:autoSpaceDN w:val="0"/>
        <w:adjustRightInd w:val="0"/>
        <w:ind w:firstLine="643"/>
        <w:rPr>
          <w:rFonts w:ascii="仿宋_GB2312"/>
          <w:szCs w:val="32"/>
        </w:rPr>
      </w:pPr>
      <w:r>
        <w:rPr>
          <w:rFonts w:hint="eastAsia" w:ascii="仿宋_GB2312"/>
          <w:b/>
          <w:szCs w:val="32"/>
        </w:rPr>
        <w:t>（二）项目支出：</w:t>
      </w:r>
      <w:r>
        <w:rPr>
          <w:rFonts w:hint="eastAsia" w:ascii="仿宋_GB2312"/>
          <w:szCs w:val="32"/>
        </w:rPr>
        <w:t>指在基本支出之外为完成特定行政任务和事业发展目标所发生的支出。</w:t>
      </w:r>
    </w:p>
    <w:p>
      <w:pPr>
        <w:autoSpaceDE w:val="0"/>
        <w:autoSpaceDN w:val="0"/>
        <w:adjustRightInd w:val="0"/>
        <w:ind w:firstLine="643"/>
        <w:rPr>
          <w:rFonts w:ascii="仿宋_GB2312"/>
          <w:szCs w:val="32"/>
        </w:rPr>
      </w:pPr>
      <w:r>
        <w:rPr>
          <w:rFonts w:hint="eastAsia" w:ascii="仿宋_GB2312"/>
          <w:b/>
          <w:szCs w:val="32"/>
        </w:rPr>
        <w:t>（三）“三公”经费：</w:t>
      </w:r>
      <w:r>
        <w:rPr>
          <w:rFonts w:hint="eastAsia" w:ascii="仿宋_GB2312"/>
          <w:szCs w:val="32"/>
        </w:rPr>
        <w:t>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autoSpaceDE w:val="0"/>
        <w:autoSpaceDN w:val="0"/>
        <w:adjustRightInd w:val="0"/>
        <w:ind w:firstLine="643"/>
        <w:rPr>
          <w:rFonts w:ascii="仿宋_GB2312"/>
          <w:szCs w:val="32"/>
        </w:rPr>
      </w:pPr>
      <w:r>
        <w:rPr>
          <w:rFonts w:hint="eastAsia" w:ascii="仿宋_GB2312"/>
          <w:b/>
          <w:szCs w:val="32"/>
        </w:rPr>
        <w:t>（四）机关运行经费：</w:t>
      </w:r>
      <w:r>
        <w:rPr>
          <w:rFonts w:hint="eastAsia" w:ascii="仿宋_GB2312"/>
          <w:szCs w:val="32"/>
        </w:rPr>
        <w:t>指行政单位和参照公务员法管理的事业单位使用一般公共预算安排的基本支出中的日常公用经费支出。</w:t>
      </w:r>
    </w:p>
    <w:p>
      <w:pPr>
        <w:tabs>
          <w:tab w:val="left" w:pos="2023"/>
        </w:tabs>
        <w:jc w:val="left"/>
        <w:rPr>
          <w:lang w:val="en-US" w:eastAsia="zh-CN"/>
        </w:rPr>
      </w:pPr>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567"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10"/>
      </w:tabs>
      <w:ind w:firstLine="360"/>
      <w:jc w:val="left"/>
      <w:rPr>
        <w:rFonts w:hint="eastAsia" w:eastAsia="仿宋_GB2312"/>
        <w:lang w:eastAsia="zh-CN"/>
      </w:rPr>
    </w:pPr>
    <w:r>
      <w:rPr>
        <w:rFonts w:hint="eastAsia"/>
        <w:lang w:eastAsia="zh-CN"/>
      </w:rPr>
      <w:tab/>
    </w:r>
    <w:r>
      <w:rPr>
        <w:rFonts w:hint="eastAsi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2DBD37"/>
    <w:multiLevelType w:val="singleLevel"/>
    <w:tmpl w:val="A62DBD37"/>
    <w:lvl w:ilvl="0" w:tentative="0">
      <w:start w:val="2"/>
      <w:numFmt w:val="chineseCounting"/>
      <w:suff w:val="space"/>
      <w:lvlText w:val="第%1部分"/>
      <w:lvlJc w:val="left"/>
      <w:rPr>
        <w:rFonts w:hint="eastAsia"/>
      </w:rPr>
    </w:lvl>
  </w:abstractNum>
  <w:abstractNum w:abstractNumId="1">
    <w:nsid w:val="AB21DE36"/>
    <w:multiLevelType w:val="singleLevel"/>
    <w:tmpl w:val="AB21DE36"/>
    <w:lvl w:ilvl="0" w:tentative="0">
      <w:start w:val="2"/>
      <w:numFmt w:val="chineseCounting"/>
      <w:suff w:val="nothing"/>
      <w:lvlText w:val="%1、"/>
      <w:lvlJc w:val="left"/>
      <w:rPr>
        <w:rFonts w:hint="eastAsia"/>
      </w:rPr>
    </w:lvl>
  </w:abstractNum>
  <w:abstractNum w:abstractNumId="2">
    <w:nsid w:val="13B1D945"/>
    <w:multiLevelType w:val="singleLevel"/>
    <w:tmpl w:val="13B1D945"/>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407FF"/>
    <w:rsid w:val="1B29091B"/>
    <w:rsid w:val="3133714E"/>
    <w:rsid w:val="4BD407F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rFonts w:ascii="Times New Roman" w:hAnsi="Times New Roman" w:eastAsia="仿宋_GB2312"/>
      <w:kern w:val="2"/>
      <w:sz w:val="18"/>
      <w:szCs w:val="18"/>
    </w:rPr>
  </w:style>
  <w:style w:type="paragraph" w:styleId="3">
    <w:name w:val="header"/>
    <w:basedOn w:val="1"/>
    <w:qFormat/>
    <w:uiPriority w:val="0"/>
    <w:pPr>
      <w:tabs>
        <w:tab w:val="center" w:pos="4153"/>
        <w:tab w:val="right" w:pos="8306"/>
      </w:tabs>
      <w:snapToGrid w:val="0"/>
      <w:spacing w:line="240" w:lineRule="atLeast"/>
      <w:jc w:val="center"/>
    </w:pPr>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2018-09-11T02:09:00Z</dcterms:created>
  <dc:creator>Administrator</dc:creator>
  <cp:lastModifiedBy>李小白</cp:lastModifiedBy>
  <dcterms:modified xsi:type="dcterms:W3CDTF">2018-09-11T03:12:45Z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