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ind w:firstLine="0"/>
        <w:jc w:val="center"/>
        <w:rPr>
          <w:rFonts w:hint="default" w:ascii="宋体" w:hAnsi="宋体" w:eastAsia="宋体"/>
          <w:b/>
          <w:bCs/>
          <w:i w:val="0"/>
          <w:snapToGrid/>
          <w:color w:val="000000"/>
          <w:sz w:val="44"/>
          <w:szCs w:val="44"/>
          <w:lang w:eastAsia="zh-CN"/>
        </w:rPr>
      </w:pPr>
      <w:r>
        <w:rPr>
          <w:rFonts w:hint="default" w:ascii="宋体" w:hAnsi="宋体" w:eastAsia="宋体"/>
          <w:b/>
          <w:bCs/>
          <w:i w:val="0"/>
          <w:snapToGrid/>
          <w:color w:val="000000"/>
          <w:sz w:val="44"/>
          <w:szCs w:val="44"/>
          <w:shd w:val="clear" w:color="auto" w:fill="FFFFFF"/>
          <w:lang w:eastAsia="zh-CN"/>
        </w:rPr>
        <w:t>晋中市</w:t>
      </w:r>
      <w:r>
        <w:rPr>
          <w:rFonts w:hint="eastAsia" w:ascii="宋体" w:hAnsi="宋体"/>
          <w:b/>
          <w:bCs/>
          <w:i w:val="0"/>
          <w:snapToGrid/>
          <w:color w:val="000000"/>
          <w:sz w:val="44"/>
          <w:szCs w:val="44"/>
          <w:shd w:val="clear" w:color="auto" w:fill="FFFFFF"/>
          <w:lang w:eastAsia="zh-CN"/>
        </w:rPr>
        <w:t>城市</w:t>
      </w:r>
      <w:r>
        <w:rPr>
          <w:rFonts w:hint="default" w:ascii="宋体" w:hAnsi="宋体" w:eastAsia="宋体"/>
          <w:b/>
          <w:bCs/>
          <w:i w:val="0"/>
          <w:snapToGrid/>
          <w:color w:val="000000"/>
          <w:sz w:val="44"/>
          <w:szCs w:val="44"/>
          <w:shd w:val="clear" w:color="auto" w:fill="FFFFFF"/>
          <w:lang w:eastAsia="zh-CN"/>
        </w:rPr>
        <w:t>规划</w:t>
      </w:r>
      <w:r>
        <w:rPr>
          <w:rFonts w:hint="eastAsia" w:ascii="宋体" w:hAnsi="宋体"/>
          <w:b/>
          <w:bCs/>
          <w:i w:val="0"/>
          <w:snapToGrid/>
          <w:color w:val="000000"/>
          <w:sz w:val="44"/>
          <w:szCs w:val="44"/>
          <w:shd w:val="clear" w:color="auto" w:fill="FFFFFF"/>
          <w:lang w:eastAsia="zh-CN"/>
        </w:rPr>
        <w:t>展示馆</w:t>
      </w:r>
      <w:r>
        <w:rPr>
          <w:rFonts w:hint="default" w:ascii="宋体" w:hAnsi="宋体" w:eastAsia="宋体"/>
          <w:b/>
          <w:bCs/>
          <w:i w:val="0"/>
          <w:snapToGrid/>
          <w:color w:val="000000"/>
          <w:sz w:val="44"/>
          <w:szCs w:val="44"/>
          <w:lang w:eastAsia="zh-CN"/>
        </w:rPr>
        <w:t>2016年度部门决算</w:t>
      </w:r>
    </w:p>
    <w:p>
      <w:pPr>
        <w:numPr>
          <w:ilvl w:val="0"/>
          <w:numId w:val="1"/>
        </w:num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晋中市</w:t>
      </w:r>
      <w:r>
        <w:rPr>
          <w:rFonts w:hint="eastAsia" w:ascii="宋体" w:hAnsi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城市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规划</w:t>
      </w:r>
      <w:r>
        <w:rPr>
          <w:rFonts w:hint="eastAsia" w:ascii="宋体" w:hAnsi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展示馆概况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right="0" w:firstLine="640" w:firstLineChars="200"/>
        <w:jc w:val="both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（一）1．主要职能：规划馆以“规划让城市更美好”为主题，秉承“亲民、互动、公开、前瞻”的理念，打造城市形象的窗口、规划宣传的阵地、招商引资的平台、事情教育的基地。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left="0" w:right="0" w:firstLine="1366" w:firstLineChars="427"/>
        <w:jc w:val="both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2．机构情况：根据市编办【2013】129号文件，晋中市城市规划展示馆于2013年11月7日成立，为正科级事业单位。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left="0" w:right="0" w:firstLine="1366" w:firstLineChars="427"/>
        <w:jc w:val="both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3．人员情况：规划馆核定财政拨款事业编制5名，现在编人员2名，劳务派遣人员17名。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left="0" w:right="0" w:firstLine="48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（二）当年取得的主要事业成效</w:t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 w:line="315" w:lineRule="atLeast"/>
        <w:ind w:left="0" w:right="0" w:firstLine="480"/>
        <w:jc w:val="both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 xml:space="preserve"> 2016年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，我馆接待市民约6.2万人次，接待省市各级领导、政府考察团、外商等重要团体60余次，日常义务讲解1500多场次，全年开馆累计300天，开馆率达92%，月平均参观量4700余人次，日平均参观量195余人次，圆满完成了各项接待任务，保证馆内的服务水平和服务质量。</w:t>
      </w:r>
    </w:p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before="107" w:beforeLines="0" w:after="107" w:afterLines="0" w:line="21" w:lineRule="atLeast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二、晋中市</w:t>
      </w:r>
      <w:r>
        <w:rPr>
          <w:rFonts w:hint="eastAsia" w:ascii="宋体" w:hAnsi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城市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规划</w:t>
      </w:r>
      <w:r>
        <w:rPr>
          <w:rFonts w:hint="eastAsia" w:ascii="宋体" w:hAnsi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展示馆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决算情况说明</w:t>
      </w: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（一）收入决算情况说明</w:t>
      </w: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2016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年收入总决算</w:t>
      </w:r>
      <w:r>
        <w:rPr>
          <w:rFonts w:hint="eastAsia" w:ascii="宋体" w:hAnsi="宋体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531.312579万</w:t>
      </w: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元；财政拨款收入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531.312579万</w:t>
      </w: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元，其中，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政府性基金预算财政拨款收入</w:t>
      </w:r>
      <w:r>
        <w:rPr>
          <w:rFonts w:hint="eastAsia" w:ascii="宋体" w:hAnsi="宋体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531.312579万</w:t>
      </w: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元。</w:t>
      </w: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（二）支出决算情况说明</w:t>
      </w: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2016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年支出总决算</w:t>
      </w:r>
      <w:r>
        <w:rPr>
          <w:rFonts w:hint="eastAsia" w:ascii="宋体" w:hAnsi="宋体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531.312579万</w:t>
      </w: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元；财政拨款支出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531.312579万</w:t>
      </w: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元，其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中，</w:t>
      </w: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政府性基金预算财政拨款支出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531.312579万</w:t>
      </w: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元。</w:t>
      </w: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eastAsia" w:asciiTheme="minorEastAsia" w:hAnsiTheme="minorEastAsia" w:eastAsiaTheme="minorEastAsia" w:cstheme="minorEastAsia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（三）“三公”经费使用情况说明</w:t>
      </w: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2016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年</w:t>
      </w: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“三公”经费支出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2.016324万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元，因公出国（境）费用</w:t>
      </w: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0元；公务接待费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0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元</w:t>
      </w:r>
      <w:r>
        <w:rPr>
          <w:rFonts w:hint="eastAsia" w:ascii="宋体" w:hAnsi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；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公务用车费</w:t>
      </w:r>
      <w:r>
        <w:rPr>
          <w:rFonts w:hint="eastAsia" w:ascii="宋体" w:hAnsi="宋体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2.016324万元，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未新增公务用车。</w:t>
      </w: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三、晋中市</w:t>
      </w:r>
      <w:r>
        <w:rPr>
          <w:rFonts w:hint="eastAsia" w:ascii="宋体" w:hAnsi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城市规划展示馆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决算公开报表</w:t>
      </w: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见附件</w:t>
      </w: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640"/>
        <w:jc w:val="left"/>
        <w:rPr>
          <w:rFonts w:hint="default" w:ascii="宋体" w:hAnsi="宋体" w:eastAsia="宋体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before="107" w:beforeLines="0" w:after="107" w:afterLines="0" w:line="21" w:lineRule="atLeast"/>
        <w:ind w:firstLine="1120"/>
        <w:jc w:val="right"/>
        <w:rPr>
          <w:rFonts w:hint="default" w:ascii="宋体" w:hAnsi="宋体" w:eastAsia="宋体"/>
          <w:b w:val="0"/>
          <w:i w:val="0"/>
          <w:snapToGrid/>
          <w:color w:val="000000"/>
          <w:sz w:val="12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2017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年</w:t>
      </w:r>
      <w:r>
        <w:rPr>
          <w:rFonts w:hint="default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8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月</w:t>
      </w:r>
      <w:r>
        <w:rPr>
          <w:rFonts w:hint="eastAsia" w:ascii="宋体" w:hAnsi="宋体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10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日</w:t>
      </w:r>
    </w:p>
    <w:p>
      <w:pPr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CBD1"/>
    <w:multiLevelType w:val="singleLevel"/>
    <w:tmpl w:val="598BCBD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636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njlkjh</dc:creator>
  <cp:lastModifiedBy>njlkjh</cp:lastModifiedBy>
  <dcterms:modified xsi:type="dcterms:W3CDTF">2017-08-15T03:33:03Z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