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晋中市城市规划展示馆</w:t>
      </w:r>
    </w:p>
    <w:p>
      <w:pPr>
        <w:jc w:val="center"/>
        <w:rPr>
          <w:rFonts w:ascii="黑体" w:hAnsi="黑体" w:eastAsia="黑体"/>
          <w:sz w:val="28"/>
          <w:szCs w:val="28"/>
        </w:rPr>
      </w:pPr>
      <w:r>
        <w:rPr>
          <w:rFonts w:hint="eastAsia" w:ascii="黑体" w:hAnsi="黑体" w:eastAsia="黑体"/>
          <w:sz w:val="28"/>
          <w:szCs w:val="28"/>
        </w:rPr>
        <w:t>2017年部门预算公开</w:t>
      </w:r>
    </w:p>
    <w:p>
      <w:pPr>
        <w:numPr>
          <w:ilvl w:val="0"/>
          <w:numId w:val="1"/>
        </w:numPr>
        <w:jc w:val="left"/>
        <w:rPr>
          <w:rFonts w:ascii="黑体" w:hAnsi="黑体" w:eastAsia="黑体"/>
          <w:sz w:val="32"/>
          <w:szCs w:val="32"/>
        </w:rPr>
      </w:pPr>
      <w:r>
        <w:rPr>
          <w:rFonts w:hint="eastAsia" w:ascii="黑体" w:hAnsi="黑体" w:eastAsia="黑体"/>
          <w:sz w:val="32"/>
          <w:szCs w:val="32"/>
        </w:rPr>
        <w:t>晋中市城市规划展示馆概况</w:t>
      </w:r>
    </w:p>
    <w:p>
      <w:pPr>
        <w:numPr>
          <w:ilvl w:val="0"/>
          <w:numId w:val="2"/>
        </w:numPr>
        <w:jc w:val="left"/>
        <w:rPr>
          <w:rFonts w:ascii="楷体" w:hAnsi="楷体" w:eastAsia="楷体" w:cs="楷体"/>
          <w:szCs w:val="21"/>
        </w:rPr>
      </w:pPr>
      <w:r>
        <w:rPr>
          <w:rFonts w:hint="eastAsia" w:ascii="楷体" w:hAnsi="楷体" w:eastAsia="楷体" w:cs="楷体"/>
          <w:sz w:val="32"/>
          <w:szCs w:val="32"/>
        </w:rPr>
        <w:t>主要职能</w:t>
      </w:r>
    </w:p>
    <w:p>
      <w:pPr>
        <w:spacing w:line="400" w:lineRule="atLeast"/>
        <w:ind w:firstLine="640" w:firstLineChars="200"/>
        <w:rPr>
          <w:rFonts w:ascii="仿宋" w:hAnsi="仿宋" w:eastAsia="仿宋" w:cs="仿宋"/>
          <w:sz w:val="32"/>
          <w:szCs w:val="32"/>
        </w:rPr>
      </w:pPr>
      <w:r>
        <w:rPr>
          <w:rFonts w:hint="eastAsia" w:ascii="仿宋" w:hAnsi="仿宋" w:eastAsia="仿宋" w:cs="仿宋"/>
          <w:sz w:val="32"/>
          <w:szCs w:val="32"/>
        </w:rPr>
        <w:t>晋中市城市规划展示馆是晋中市城市形象的窗口、规划宣传的阵地、招商引资的平台、市情教育的基地。负责展示城市规划建设成就和规划远景；承担城市总体规划、专项规划以及重要区域、重点项目等详细规划展示工作；承担建设项目规划审批公示工作；承担专业展览、会展推介等工作；负责展馆布展和展示内容的更新；负责展馆日常运行和维护；负责展馆接待、讲解服务工作；负责晋中市城市精神文明的对外宣传教育、社会教育与机关、学校、部队、社区及公众展馆的共建工作。</w:t>
      </w:r>
    </w:p>
    <w:p>
      <w:pPr>
        <w:spacing w:line="400" w:lineRule="atLeast"/>
        <w:jc w:val="left"/>
        <w:rPr>
          <w:rFonts w:ascii="楷体" w:hAnsi="楷体" w:eastAsia="楷体" w:cs="楷体"/>
          <w:sz w:val="32"/>
          <w:szCs w:val="32"/>
        </w:rPr>
      </w:pPr>
      <w:r>
        <w:rPr>
          <w:rFonts w:hint="eastAsia" w:ascii="楷体" w:hAnsi="楷体" w:eastAsia="楷体" w:cs="楷体"/>
          <w:sz w:val="32"/>
          <w:szCs w:val="32"/>
        </w:rPr>
        <w:t>(二）部门预算单位构成</w:t>
      </w:r>
    </w:p>
    <w:p>
      <w:pPr>
        <w:ind w:firstLine="640"/>
        <w:jc w:val="left"/>
        <w:rPr>
          <w:rFonts w:ascii="仿宋" w:hAnsi="仿宋" w:eastAsia="仿宋" w:cs="仿宋"/>
          <w:sz w:val="32"/>
          <w:szCs w:val="32"/>
        </w:rPr>
      </w:pPr>
      <w:r>
        <w:rPr>
          <w:rFonts w:hint="eastAsia" w:ascii="仿宋" w:hAnsi="仿宋" w:eastAsia="仿宋" w:cs="仿宋"/>
          <w:sz w:val="32"/>
          <w:szCs w:val="32"/>
        </w:rPr>
        <w:t xml:space="preserve"> 部门预算主要由以下单位构成：晋中市城市规划展示馆</w:t>
      </w:r>
    </w:p>
    <w:p>
      <w:pPr>
        <w:numPr>
          <w:ilvl w:val="0"/>
          <w:numId w:val="3"/>
        </w:numPr>
        <w:jc w:val="left"/>
        <w:rPr>
          <w:rFonts w:ascii="黑体" w:hAnsi="黑体" w:eastAsia="黑体"/>
          <w:sz w:val="32"/>
          <w:szCs w:val="32"/>
        </w:rPr>
      </w:pPr>
      <w:r>
        <w:rPr>
          <w:rFonts w:hint="eastAsia" w:ascii="黑体" w:hAnsi="黑体" w:eastAsia="黑体"/>
          <w:sz w:val="32"/>
          <w:szCs w:val="32"/>
        </w:rPr>
        <w:t>晋中市城市规划馆部门预算情况说明</w:t>
      </w:r>
    </w:p>
    <w:p>
      <w:pPr>
        <w:numPr>
          <w:ilvl w:val="0"/>
          <w:numId w:val="4"/>
        </w:numPr>
        <w:jc w:val="left"/>
        <w:rPr>
          <w:rFonts w:ascii="楷体" w:hAnsi="楷体" w:eastAsia="楷体" w:cs="楷体"/>
          <w:sz w:val="32"/>
          <w:szCs w:val="32"/>
        </w:rPr>
      </w:pPr>
      <w:r>
        <w:rPr>
          <w:rFonts w:hint="eastAsia" w:ascii="楷体" w:hAnsi="楷体" w:eastAsia="楷体" w:cs="楷体"/>
          <w:sz w:val="32"/>
          <w:szCs w:val="32"/>
        </w:rPr>
        <w:t>收入预算情况</w:t>
      </w:r>
    </w:p>
    <w:p>
      <w:pPr>
        <w:jc w:val="left"/>
        <w:rPr>
          <w:rFonts w:ascii="仿宋" w:hAnsi="仿宋" w:eastAsia="仿宋" w:cs="仿宋"/>
          <w:sz w:val="32"/>
          <w:szCs w:val="32"/>
        </w:rPr>
      </w:pPr>
      <w:r>
        <w:rPr>
          <w:rFonts w:hint="eastAsia" w:ascii="楷体" w:hAnsi="楷体" w:eastAsia="楷体" w:cs="楷体"/>
          <w:sz w:val="32"/>
          <w:szCs w:val="32"/>
        </w:rPr>
        <w:t xml:space="preserve">     </w:t>
      </w:r>
      <w:r>
        <w:rPr>
          <w:rFonts w:hint="eastAsia" w:ascii="仿宋" w:hAnsi="仿宋" w:eastAsia="仿宋" w:cs="仿宋"/>
          <w:sz w:val="32"/>
          <w:szCs w:val="32"/>
        </w:rPr>
        <w:t>2017年收入预算870万元，比2016年增加85万元。</w:t>
      </w:r>
    </w:p>
    <w:p>
      <w:pPr>
        <w:numPr>
          <w:ilvl w:val="0"/>
          <w:numId w:val="4"/>
        </w:numPr>
        <w:jc w:val="left"/>
        <w:rPr>
          <w:rFonts w:ascii="楷体" w:hAnsi="楷体" w:eastAsia="楷体" w:cs="楷体"/>
          <w:sz w:val="32"/>
          <w:szCs w:val="32"/>
        </w:rPr>
      </w:pPr>
      <w:r>
        <w:rPr>
          <w:rFonts w:hint="eastAsia" w:ascii="楷体" w:hAnsi="楷体" w:eastAsia="楷体" w:cs="楷体"/>
          <w:sz w:val="32"/>
          <w:szCs w:val="32"/>
        </w:rPr>
        <w:t>一般公共预算支出情况</w:t>
      </w:r>
    </w:p>
    <w:p>
      <w:pPr>
        <w:ind w:firstLine="640"/>
        <w:jc w:val="left"/>
        <w:rPr>
          <w:rFonts w:ascii="仿宋" w:hAnsi="仿宋" w:eastAsia="仿宋" w:cs="仿宋"/>
          <w:sz w:val="32"/>
          <w:szCs w:val="32"/>
        </w:rPr>
      </w:pPr>
      <w:r>
        <w:rPr>
          <w:rFonts w:hint="eastAsia" w:ascii="仿宋" w:hAnsi="仿宋" w:eastAsia="仿宋" w:cs="仿宋"/>
          <w:sz w:val="32"/>
          <w:szCs w:val="32"/>
        </w:rPr>
        <w:t>1.2017年基本支出0万元。</w:t>
      </w:r>
    </w:p>
    <w:p>
      <w:pPr>
        <w:ind w:firstLine="640"/>
        <w:jc w:val="left"/>
        <w:rPr>
          <w:rFonts w:ascii="仿宋" w:hAnsi="仿宋" w:eastAsia="仿宋" w:cs="仿宋"/>
          <w:sz w:val="32"/>
          <w:szCs w:val="32"/>
        </w:rPr>
      </w:pPr>
      <w:r>
        <w:rPr>
          <w:rFonts w:hint="eastAsia" w:ascii="仿宋" w:hAnsi="仿宋" w:eastAsia="仿宋" w:cs="仿宋"/>
          <w:sz w:val="32"/>
          <w:szCs w:val="32"/>
        </w:rPr>
        <w:t>2.2017年项目支出0万元。</w:t>
      </w:r>
    </w:p>
    <w:p>
      <w:pPr>
        <w:numPr>
          <w:ilvl w:val="0"/>
          <w:numId w:val="5"/>
        </w:numPr>
        <w:ind w:firstLine="640"/>
        <w:jc w:val="left"/>
        <w:rPr>
          <w:rFonts w:ascii="仿宋" w:hAnsi="仿宋" w:eastAsia="仿宋" w:cs="仿宋"/>
          <w:sz w:val="32"/>
          <w:szCs w:val="32"/>
        </w:rPr>
      </w:pPr>
      <w:r>
        <w:rPr>
          <w:rFonts w:hint="eastAsia" w:ascii="仿宋" w:hAnsi="仿宋" w:eastAsia="仿宋" w:cs="仿宋"/>
          <w:sz w:val="32"/>
          <w:szCs w:val="32"/>
        </w:rPr>
        <w:t>“三公”经费情况</w:t>
      </w:r>
    </w:p>
    <w:p>
      <w:pPr>
        <w:jc w:val="left"/>
        <w:rPr>
          <w:rFonts w:ascii="仿宋" w:hAnsi="仿宋" w:eastAsia="仿宋" w:cs="仿宋"/>
          <w:sz w:val="32"/>
          <w:szCs w:val="32"/>
        </w:rPr>
      </w:pPr>
      <w:r>
        <w:rPr>
          <w:rFonts w:hint="eastAsia" w:ascii="仿宋" w:hAnsi="仿宋" w:eastAsia="仿宋" w:cs="仿宋"/>
          <w:sz w:val="32"/>
          <w:szCs w:val="32"/>
        </w:rPr>
        <w:t xml:space="preserve">    2017年“三公”经费预算0万元。</w:t>
      </w:r>
    </w:p>
    <w:p>
      <w:pPr>
        <w:numPr>
          <w:ilvl w:val="0"/>
          <w:numId w:val="6"/>
        </w:numPr>
        <w:jc w:val="left"/>
        <w:rPr>
          <w:rFonts w:ascii="楷体" w:hAnsi="楷体" w:eastAsia="楷体" w:cs="楷体"/>
          <w:sz w:val="32"/>
          <w:szCs w:val="32"/>
        </w:rPr>
      </w:pPr>
      <w:r>
        <w:rPr>
          <w:rFonts w:hint="eastAsia" w:ascii="楷体" w:hAnsi="楷体" w:eastAsia="楷体" w:cs="楷体"/>
          <w:sz w:val="32"/>
          <w:szCs w:val="32"/>
        </w:rPr>
        <w:t>政府性基金预算情况</w:t>
      </w:r>
    </w:p>
    <w:p>
      <w:pPr>
        <w:jc w:val="lef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仿宋" w:hAnsi="仿宋" w:eastAsia="仿宋" w:cs="仿宋"/>
          <w:sz w:val="32"/>
          <w:szCs w:val="32"/>
        </w:rPr>
        <w:t>1.2017年基本支出0万元。</w:t>
      </w:r>
    </w:p>
    <w:p>
      <w:pPr>
        <w:jc w:val="left"/>
        <w:rPr>
          <w:rFonts w:ascii="仿宋" w:hAnsi="仿宋" w:eastAsia="仿宋" w:cs="仿宋"/>
          <w:sz w:val="32"/>
          <w:szCs w:val="32"/>
        </w:rPr>
      </w:pPr>
      <w:r>
        <w:rPr>
          <w:rFonts w:hint="eastAsia" w:ascii="仿宋" w:hAnsi="仿宋" w:eastAsia="仿宋" w:cs="仿宋"/>
          <w:sz w:val="32"/>
          <w:szCs w:val="32"/>
        </w:rPr>
        <w:t xml:space="preserve">     2.2017年项目支出870万元，2016年项目支出785万元，2017年比2016年增加85万元。</w:t>
      </w:r>
    </w:p>
    <w:p>
      <w:pPr>
        <w:ind w:firstLine="640"/>
        <w:jc w:val="left"/>
        <w:rPr>
          <w:rFonts w:hint="eastAsia" w:ascii="仿宋" w:hAnsi="仿宋" w:eastAsia="仿宋" w:cs="仿宋"/>
          <w:sz w:val="32"/>
          <w:szCs w:val="32"/>
        </w:rPr>
      </w:pPr>
      <w:r>
        <w:rPr>
          <w:rFonts w:hint="eastAsia" w:ascii="仿宋" w:hAnsi="仿宋" w:eastAsia="仿宋" w:cs="仿宋"/>
          <w:sz w:val="32"/>
          <w:szCs w:val="32"/>
        </w:rPr>
        <w:t xml:space="preserve"> 项目支出主要用于保障展馆的正常运行。具体包括消防系统、照明系统、空调机组、电梯、安保系统、绿植等在内的基础设施设备的采购、保养及检修；展厅各类型科技展陈设备整件及相关零配件的采购、保养及检修；展厅图文展板、项目模型、视频资料的更新与改造；用于展示市情市貌、展馆形象的工作人员的服装、对外宣传等资料及耗材；用于同学校机关企事业单位部队开展城市规划主题社会公众服务活动费用；用于馆内日常办公的相关耗材费用；用于支付馆内各岗位工作人员的劳务费用。</w:t>
      </w:r>
    </w:p>
    <w:p>
      <w:pPr>
        <w:numPr>
          <w:ilvl w:val="0"/>
          <w:numId w:val="6"/>
        </w:numPr>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机关运行经费预算情况</w:t>
      </w:r>
    </w:p>
    <w:p>
      <w:pPr>
        <w:numPr>
          <w:numId w:val="0"/>
        </w:numPr>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w:t>
      </w:r>
      <w:r>
        <w:rPr>
          <w:rFonts w:hint="eastAsia" w:ascii="仿宋" w:hAnsi="仿宋" w:eastAsia="仿宋" w:cs="仿宋"/>
          <w:sz w:val="32"/>
          <w:szCs w:val="32"/>
          <w:lang w:val="en-US" w:eastAsia="zh-CN"/>
        </w:rPr>
        <w:t>2017年机关运行经费0元。</w:t>
      </w:r>
    </w:p>
    <w:p>
      <w:pPr>
        <w:jc w:val="left"/>
        <w:rPr>
          <w:rFonts w:ascii="黑体" w:hAnsi="黑体" w:eastAsia="黑体"/>
          <w:sz w:val="32"/>
          <w:szCs w:val="32"/>
        </w:rPr>
      </w:pPr>
      <w:r>
        <w:rPr>
          <w:rFonts w:hint="eastAsia" w:ascii="黑体" w:hAnsi="黑体" w:eastAsia="黑体"/>
          <w:sz w:val="32"/>
          <w:szCs w:val="32"/>
        </w:rPr>
        <w:t>三、2017年部门预算表</w:t>
      </w:r>
    </w:p>
    <w:p>
      <w:pPr>
        <w:jc w:val="left"/>
        <w:rPr>
          <w:szCs w:val="21"/>
        </w:rPr>
      </w:pPr>
      <w:r>
        <w:rPr>
          <w:rFonts w:hint="eastAsia" w:ascii="黑体" w:hAnsi="黑体" w:eastAsia="黑体"/>
          <w:sz w:val="32"/>
          <w:szCs w:val="32"/>
        </w:rPr>
        <w:t xml:space="preserve">    </w:t>
      </w:r>
      <w:r>
        <w:rPr>
          <w:rFonts w:hint="eastAsia" w:ascii="楷体" w:hAnsi="楷体" w:eastAsia="楷体" w:cs="楷体"/>
          <w:sz w:val="32"/>
          <w:szCs w:val="32"/>
        </w:rPr>
        <w:t>详见附表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AA54C"/>
    <w:multiLevelType w:val="singleLevel"/>
    <w:tmpl w:val="581AA54C"/>
    <w:lvl w:ilvl="0" w:tentative="0">
      <w:start w:val="1"/>
      <w:numFmt w:val="chineseCounting"/>
      <w:suff w:val="nothing"/>
      <w:lvlText w:val="%1、"/>
      <w:lvlJc w:val="left"/>
    </w:lvl>
  </w:abstractNum>
  <w:abstractNum w:abstractNumId="1">
    <w:nsid w:val="581AA562"/>
    <w:multiLevelType w:val="singleLevel"/>
    <w:tmpl w:val="581AA562"/>
    <w:lvl w:ilvl="0" w:tentative="0">
      <w:start w:val="1"/>
      <w:numFmt w:val="chineseCounting"/>
      <w:suff w:val="nothing"/>
      <w:lvlText w:val="（%1）"/>
      <w:lvlJc w:val="left"/>
    </w:lvl>
  </w:abstractNum>
  <w:abstractNum w:abstractNumId="2">
    <w:nsid w:val="581AA6D1"/>
    <w:multiLevelType w:val="singleLevel"/>
    <w:tmpl w:val="581AA6D1"/>
    <w:lvl w:ilvl="0" w:tentative="0">
      <w:start w:val="2"/>
      <w:numFmt w:val="chineseCounting"/>
      <w:suff w:val="nothing"/>
      <w:lvlText w:val="%1、"/>
      <w:lvlJc w:val="left"/>
    </w:lvl>
  </w:abstractNum>
  <w:abstractNum w:abstractNumId="3">
    <w:nsid w:val="581AA6FF"/>
    <w:multiLevelType w:val="singleLevel"/>
    <w:tmpl w:val="581AA6FF"/>
    <w:lvl w:ilvl="0" w:tentative="0">
      <w:start w:val="1"/>
      <w:numFmt w:val="chineseCounting"/>
      <w:suff w:val="nothing"/>
      <w:lvlText w:val="（%1）"/>
      <w:lvlJc w:val="left"/>
    </w:lvl>
  </w:abstractNum>
  <w:abstractNum w:abstractNumId="4">
    <w:nsid w:val="581AA89B"/>
    <w:multiLevelType w:val="singleLevel"/>
    <w:tmpl w:val="581AA89B"/>
    <w:lvl w:ilvl="0" w:tentative="0">
      <w:start w:val="3"/>
      <w:numFmt w:val="decimal"/>
      <w:suff w:val="nothing"/>
      <w:lvlText w:val="%1."/>
      <w:lvlJc w:val="left"/>
    </w:lvl>
  </w:abstractNum>
  <w:abstractNum w:abstractNumId="5">
    <w:nsid w:val="581AAA96"/>
    <w:multiLevelType w:val="singleLevel"/>
    <w:tmpl w:val="581AAA96"/>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F16"/>
    <w:rsid w:val="00494D4F"/>
    <w:rsid w:val="00C22F16"/>
    <w:rsid w:val="156B7F52"/>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cs="黑体"/>
      <w:kern w:val="2"/>
      <w:sz w:val="18"/>
      <w:szCs w:val="18"/>
    </w:rPr>
  </w:style>
  <w:style w:type="character" w:customStyle="1" w:styleId="7">
    <w:name w:val="页脚 Char"/>
    <w:basedOn w:val="4"/>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113</Words>
  <Characters>645</Characters>
  <Lines>5</Lines>
  <Paragraphs>1</Paragraphs>
  <TotalTime>0</TotalTime>
  <ScaleCrop>false</ScaleCrop>
  <LinksUpToDate>false</LinksUpToDate>
  <CharactersWithSpaces>757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2016-11-03T02:44:00Z</dcterms:created>
  <dc:creator>lenovo</dc:creator>
  <cp:lastModifiedBy>njlkjh</cp:lastModifiedBy>
  <cp:lastPrinted>2016-11-04T02:34:00Z</cp:lastPrinted>
  <dcterms:modified xsi:type="dcterms:W3CDTF">2017-03-28T06:59:16Z</dcterms:modified>
  <dc:title>晋中市城市规划展示馆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